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E6CF5">
      <w:pPr>
        <w:pStyle w:val="14"/>
        <w:spacing w:line="276" w:lineRule="auto"/>
        <w:ind w:left="708" w:hanging="708"/>
        <w:jc w:val="left"/>
        <w:rPr>
          <w:rFonts w:ascii="Arial" w:hAnsi="Arial" w:cs="Arial"/>
          <w:color w:val="C0504D"/>
          <w:sz w:val="16"/>
        </w:rPr>
      </w:pPr>
      <w:r>
        <w:rPr>
          <w:rFonts w:ascii="Arial" w:hAnsi="Arial" w:cs="Arial"/>
          <w:color w:val="C0504D"/>
          <w:sz w:val="16"/>
          <w:lang w:val="es-VE" w:eastAsia="es-VE"/>
        </w:rPr>
        <w:drawing>
          <wp:inline distT="0" distB="0" distL="0" distR="0">
            <wp:extent cx="5600700" cy="848995"/>
            <wp:effectExtent l="0" t="0" r="0"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00700" cy="848995"/>
                    </a:xfrm>
                    <a:prstGeom prst="rect">
                      <a:avLst/>
                    </a:prstGeom>
                    <a:noFill/>
                    <a:ln>
                      <a:noFill/>
                    </a:ln>
                  </pic:spPr>
                </pic:pic>
              </a:graphicData>
            </a:graphic>
          </wp:inline>
        </w:drawing>
      </w:r>
    </w:p>
    <w:p w14:paraId="65788397">
      <w:pPr>
        <w:pStyle w:val="2"/>
        <w:spacing w:line="276" w:lineRule="auto"/>
        <w:rPr>
          <w:rFonts w:ascii="Arial" w:hAnsi="Arial" w:cs="Arial"/>
        </w:rPr>
      </w:pPr>
      <w:r>
        <w:rPr>
          <w:rFonts w:ascii="Arial" w:hAnsi="Arial" w:cs="Arial"/>
          <w:lang w:val="es-VE" w:eastAsia="es-VE"/>
        </w:rPr>
        <mc:AlternateContent>
          <mc:Choice Requires="wps">
            <w:drawing>
              <wp:anchor distT="0" distB="0" distL="114300" distR="114300" simplePos="0" relativeHeight="251659264" behindDoc="1" locked="0" layoutInCell="1" allowOverlap="1">
                <wp:simplePos x="0" y="0"/>
                <wp:positionH relativeFrom="column">
                  <wp:posOffset>1269365</wp:posOffset>
                </wp:positionH>
                <wp:positionV relativeFrom="paragraph">
                  <wp:posOffset>161290</wp:posOffset>
                </wp:positionV>
                <wp:extent cx="3126105" cy="553085"/>
                <wp:effectExtent l="0" t="0" r="0" b="0"/>
                <wp:wrapNone/>
                <wp:docPr id="1" name="Cuadro de texto 2"/>
                <wp:cNvGraphicFramePr/>
                <a:graphic xmlns:a="http://schemas.openxmlformats.org/drawingml/2006/main">
                  <a:graphicData uri="http://schemas.microsoft.com/office/word/2010/wordprocessingShape">
                    <wps:wsp>
                      <wps:cNvSpPr txBox="1"/>
                      <wps:spPr bwMode="auto">
                        <a:xfrm>
                          <a:off x="0" y="0"/>
                          <a:ext cx="3125972" cy="553085"/>
                        </a:xfrm>
                        <a:prstGeom prst="rect">
                          <a:avLst/>
                        </a:prstGeom>
                        <a:noFill/>
                        <a:ln>
                          <a:noFill/>
                        </a:ln>
                      </wps:spPr>
                      <wps:txbx>
                        <w:txbxContent>
                          <w:p w14:paraId="5942AB17">
                            <w:pPr>
                              <w:jc w:val="center"/>
                              <w:rPr>
                                <w:rFonts w:ascii="Arial Black" w:hAnsi="Arial Black"/>
                                <w:color w:val="17365D"/>
                                <w:sz w:val="36"/>
                                <w:szCs w:val="36"/>
                              </w:rPr>
                            </w:pPr>
                            <w:r>
                              <w:rPr>
                                <w:rFonts w:ascii="Arial Black" w:hAnsi="Arial Black"/>
                                <w:color w:val="17365D"/>
                                <w:sz w:val="36"/>
                                <w:szCs w:val="36"/>
                              </w:rPr>
                              <w:t xml:space="preserve">PLAN  DIAMANTE NEW </w:t>
                            </w:r>
                          </w:p>
                          <w:p w14:paraId="7EFDA32F">
                            <w:pPr>
                              <w:rPr>
                                <w:rFonts w:ascii="Arial Black" w:hAnsi="Arial Black"/>
                                <w:color w:val="17365D"/>
                                <w:sz w:val="36"/>
                                <w:szCs w:val="36"/>
                              </w:rPr>
                            </w:pPr>
                          </w:p>
                        </w:txbxContent>
                      </wps:txbx>
                      <wps:bodyPr rot="0" vert="horz" wrap="square" lIns="91440" tIns="45720" rIns="91440" bIns="45720" anchor="t" anchorCtr="0" upright="1">
                        <a:noAutofit/>
                      </wps:bodyPr>
                    </wps:wsp>
                  </a:graphicData>
                </a:graphic>
              </wp:anchor>
            </w:drawing>
          </mc:Choice>
          <mc:Fallback>
            <w:pict>
              <v:shape id="Cuadro de texto 2" o:spid="_x0000_s1026" o:spt="202" type="#_x0000_t202" style="position:absolute;left:0pt;margin-left:99.95pt;margin-top:12.7pt;height:43.55pt;width:246.15pt;z-index:-251657216;mso-width-relative:page;mso-height-relative:page;" filled="f" stroked="f" coordsize="21600,21600" o:gfxdata="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EMOdnWAAAACgEAAA8AAAAAAAAAAQAgAAAAIgAAAGRycy9kb3ducmV2LnhtbFBLAQIUABQA&#10;AAAIAIdO4kDEl8NH8gEAAOsDAAAOAAAAAAAAAAEAIAAAACUBAABkcnMvZTJvRG9jLnhtbFBLBQYA&#10;AAAABgAGAFkBAACJBQAAAAA=&#10;">
                <v:fill on="f" focussize="0,0"/>
                <v:stroke on="f"/>
                <v:imagedata o:title=""/>
                <o:lock v:ext="edit" aspectratio="f"/>
                <v:textbox>
                  <w:txbxContent>
                    <w:p w14:paraId="5942AB17">
                      <w:pPr>
                        <w:jc w:val="center"/>
                        <w:rPr>
                          <w:rFonts w:ascii="Arial Black" w:hAnsi="Arial Black"/>
                          <w:color w:val="17365D"/>
                          <w:sz w:val="36"/>
                          <w:szCs w:val="36"/>
                        </w:rPr>
                      </w:pPr>
                      <w:r>
                        <w:rPr>
                          <w:rFonts w:ascii="Arial Black" w:hAnsi="Arial Black"/>
                          <w:color w:val="17365D"/>
                          <w:sz w:val="36"/>
                          <w:szCs w:val="36"/>
                        </w:rPr>
                        <w:t xml:space="preserve">PLAN  DIAMANTE NEW </w:t>
                      </w:r>
                    </w:p>
                    <w:p w14:paraId="7EFDA32F">
                      <w:pPr>
                        <w:rPr>
                          <w:rFonts w:ascii="Arial Black" w:hAnsi="Arial Black"/>
                          <w:color w:val="17365D"/>
                          <w:sz w:val="36"/>
                          <w:szCs w:val="36"/>
                        </w:rPr>
                      </w:pPr>
                    </w:p>
                  </w:txbxContent>
                </v:textbox>
              </v:shape>
            </w:pict>
          </mc:Fallback>
        </mc:AlternateContent>
      </w:r>
    </w:p>
    <w:p w14:paraId="28AB6EB4">
      <w:pPr>
        <w:pStyle w:val="2"/>
        <w:spacing w:line="276" w:lineRule="auto"/>
        <w:rPr>
          <w:rFonts w:ascii="Arial" w:hAnsi="Arial" w:cs="Arial"/>
          <w:b w:val="0"/>
        </w:rPr>
      </w:pPr>
    </w:p>
    <w:p w14:paraId="470365A3">
      <w:pPr>
        <w:pStyle w:val="2"/>
        <w:spacing w:line="276" w:lineRule="auto"/>
        <w:rPr>
          <w:rFonts w:ascii="Arial" w:hAnsi="Arial" w:cs="Arial"/>
          <w:b w:val="0"/>
        </w:rPr>
      </w:pPr>
    </w:p>
    <w:p w14:paraId="583165C6">
      <w:pPr>
        <w:spacing w:line="276" w:lineRule="auto"/>
        <w:jc w:val="center"/>
        <w:rPr>
          <w:rFonts w:ascii="Arial" w:hAnsi="Arial" w:cs="Arial"/>
          <w:b/>
          <w:sz w:val="28"/>
          <w:szCs w:val="28"/>
        </w:rPr>
      </w:pPr>
      <w:r>
        <w:rPr>
          <w:rFonts w:ascii="Arial" w:hAnsi="Arial" w:cs="Arial"/>
          <w:b/>
          <w:sz w:val="28"/>
          <w:szCs w:val="28"/>
        </w:rPr>
        <w:t>CONDICIONES GENERALES  DEL SERVICIO</w:t>
      </w:r>
    </w:p>
    <w:p w14:paraId="18E4577C">
      <w:pPr>
        <w:spacing w:line="276" w:lineRule="auto"/>
        <w:jc w:val="center"/>
        <w:rPr>
          <w:rFonts w:ascii="Arial" w:hAnsi="Arial" w:cs="Arial"/>
          <w:b/>
          <w:sz w:val="28"/>
          <w:szCs w:val="28"/>
        </w:rPr>
      </w:pPr>
      <w:r>
        <w:rPr>
          <w:rFonts w:ascii="Arial" w:hAnsi="Arial" w:cs="Arial"/>
          <w:b/>
          <w:sz w:val="28"/>
          <w:szCs w:val="28"/>
        </w:rPr>
        <w:t xml:space="preserve"> DEL PLAN MEDICO SALUD ZULIA</w:t>
      </w:r>
    </w:p>
    <w:p w14:paraId="11BAA0BB">
      <w:pPr>
        <w:spacing w:line="276" w:lineRule="auto"/>
        <w:jc w:val="center"/>
        <w:rPr>
          <w:rFonts w:ascii="Arial" w:hAnsi="Arial" w:cs="Arial"/>
          <w:b/>
          <w:sz w:val="28"/>
          <w:szCs w:val="28"/>
        </w:rPr>
      </w:pPr>
    </w:p>
    <w:p w14:paraId="23E401C6">
      <w:pPr>
        <w:spacing w:line="276" w:lineRule="auto"/>
        <w:jc w:val="center"/>
        <w:rPr>
          <w:rFonts w:ascii="Arial" w:hAnsi="Arial" w:cs="Arial"/>
          <w:b/>
          <w:sz w:val="28"/>
          <w:szCs w:val="28"/>
        </w:rPr>
      </w:pPr>
      <w:r>
        <w:rPr>
          <w:rFonts w:ascii="Arial" w:hAnsi="Arial" w:cs="Arial"/>
          <w:b/>
          <w:sz w:val="28"/>
          <w:szCs w:val="28"/>
        </w:rPr>
        <w:t>(Anexo “A”)</w:t>
      </w:r>
    </w:p>
    <w:p w14:paraId="219D2538">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rPr>
        <w:t xml:space="preserve">PLANES DE SALUD GOLD </w:t>
      </w:r>
      <w:r>
        <w:rPr>
          <w:rFonts w:ascii="Arial" w:hAnsi="Arial" w:cs="Arial"/>
        </w:rPr>
        <w:t xml:space="preserve">, identificado como </w:t>
      </w:r>
      <w:r>
        <w:rPr>
          <w:rFonts w:ascii="Arial" w:hAnsi="Arial" w:cs="Arial"/>
          <w:b/>
        </w:rPr>
        <w:t xml:space="preserve">CONDICIONES DEL SERVICIO DEL PLAN MEDICO SALUD ZULIA (Anexo “A”) </w:t>
      </w:r>
      <w:r>
        <w:rPr>
          <w:rFonts w:ascii="Arial" w:hAnsi="Arial" w:cs="Arial"/>
        </w:rPr>
        <w:t xml:space="preserve">y que constituye la base y forma parte de dicho contrato, especificados a continuación: </w:t>
      </w:r>
    </w:p>
    <w:p w14:paraId="522BDC62">
      <w:pPr>
        <w:spacing w:line="276" w:lineRule="auto"/>
        <w:jc w:val="both"/>
        <w:rPr>
          <w:rFonts w:ascii="Arial" w:hAnsi="Arial" w:cs="Arial"/>
        </w:rPr>
      </w:pPr>
    </w:p>
    <w:p w14:paraId="5CFBA00A">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morbosos de origen interno o externo con relación al organismo, que origine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enfermedad habitual, permanente de recidivante, o aquella que permanece por más de seis (6) meses consecutivos.</w:t>
      </w:r>
      <w:r>
        <w:rPr>
          <w:rFonts w:ascii="Arial" w:hAnsi="Arial" w:cs="Arial"/>
          <w:b/>
          <w:u w:val="single"/>
        </w:rPr>
        <w:t xml:space="preserve"> 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hospitalaria. </w:t>
      </w:r>
      <w:r>
        <w:rPr>
          <w:rFonts w:ascii="Arial" w:hAnsi="Arial" w:cs="Arial"/>
          <w:b/>
          <w:u w:val="single"/>
        </w:rPr>
        <w:t>Atención Ambulatoria</w:t>
      </w:r>
      <w:r>
        <w:rPr>
          <w:rFonts w:ascii="Arial" w:hAnsi="Arial" w:cs="Arial"/>
        </w:rPr>
        <w:t xml:space="preserve">: procedimiento de diagnóstico o terapéutico que no requiere la reclusión hospitalaria.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hospitalaria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a diferencia de una cirugía de emergencia, puede ser planificada.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Plan Médico Salud Zulia C.A., 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se refiere a un contrato emitido para un grupo de afiliados compuesto por más de 40 beneficiarios, que pertenecen a un grupo humano definido, tales como empresas, gremios, asociaciones o similares, el cual asume la función de contratante en representación de ellos.</w:t>
      </w:r>
      <w:r>
        <w:rPr>
          <w:rFonts w:ascii="Arial" w:hAnsi="Arial" w:cs="Arial"/>
          <w:b/>
          <w:u w:val="single"/>
        </w:rPr>
        <w:t xml:space="preserve"> Solicitud de afiliación</w:t>
      </w:r>
      <w:r>
        <w:rPr>
          <w:rFonts w:ascii="Arial" w:hAnsi="Arial" w:cs="Arial"/>
          <w:u w:val="single"/>
        </w:rPr>
        <w:t>:</w:t>
      </w:r>
      <w:r>
        <w:rPr>
          <w:rFonts w:ascii="Arial" w:hAnsi="Arial" w:cs="Arial"/>
        </w:rPr>
        <w:t xml:space="preserve"> cuestionario que proporciona Plan Medico Salud Zulia, el cual contiene un conjunto de preguntas relativas a la identificación de los afiliados así como también del estado de salud de cada una de las personas que estarán amparadas por el contrato y demás datos que puedan influir en la estimación de riesgos, que deben ser contestada en su totalidad y con exactitud por el afiliado titular, constituyendo dicha declaración la base legal para la emisión del contrato de afiliación. </w:t>
      </w:r>
    </w:p>
    <w:p w14:paraId="5327B925">
      <w:pPr>
        <w:spacing w:line="276" w:lineRule="auto"/>
        <w:jc w:val="both"/>
        <w:rPr>
          <w:rFonts w:ascii="Arial" w:hAnsi="Arial" w:cs="Arial"/>
        </w:rPr>
      </w:pPr>
    </w:p>
    <w:p w14:paraId="40E38F22">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El contrato estará vigente durante un año a partir de la afiliación y firma del contrato entre las partes, fecha en la cual podrá ser  renovado automáticamente, sin que esto impida que  durante la vigencia del contrato Plan Médico Salud Zulia, C.A  pueda realizar cambios en el presente condicionado para una mayor calidad en el servicio.</w:t>
      </w:r>
    </w:p>
    <w:p w14:paraId="109E5E0D">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profesionales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SERVCIOS DE CONSULTAS MEDICAS: </w:t>
      </w:r>
      <w:r>
        <w:rPr>
          <w:rFonts w:ascii="Arial" w:hAnsi="Arial" w:cs="Arial"/>
        </w:rPr>
        <w:t xml:space="preserve">Básicas y Especializada. </w:t>
      </w:r>
      <w:r>
        <w:rPr>
          <w:rFonts w:ascii="Arial" w:hAnsi="Arial" w:cs="Arial"/>
          <w:b/>
        </w:rPr>
        <w:t>2.- SERVICIO DE EXAMENES DE LABORATORIOS (BASICOS)</w:t>
      </w:r>
      <w:r>
        <w:rPr>
          <w:rFonts w:ascii="Arial" w:hAnsi="Arial" w:cs="Arial"/>
          <w:b/>
          <w:u w:val="single"/>
        </w:rPr>
        <w:t>:</w:t>
      </w:r>
      <w:r>
        <w:rPr>
          <w:rFonts w:ascii="Arial" w:hAnsi="Arial" w:cs="Arial"/>
        </w:rPr>
        <w:t xml:space="preserve"> </w:t>
      </w:r>
      <w:r>
        <w:rPr>
          <w:rFonts w:ascii="Arial" w:hAnsi="Arial" w:cs="Arial"/>
          <w:u w:val="single"/>
        </w:rPr>
        <w:t>Hematología:</w:t>
      </w:r>
      <w:r>
        <w:rPr>
          <w:rFonts w:ascii="Arial" w:hAnsi="Arial" w:cs="Arial"/>
        </w:rPr>
        <w:t xml:space="preserve"> Hemoglobina, Hematocrito,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Toxo Test IHA,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 xml:space="preserve">Coprología: </w:t>
      </w:r>
      <w:r>
        <w:rPr>
          <w:rFonts w:ascii="Arial" w:hAnsi="Arial" w:cs="Arial"/>
        </w:rPr>
        <w:t xml:space="preserve">Heces directo, Sangre oculta. </w:t>
      </w:r>
      <w:r>
        <w:rPr>
          <w:rFonts w:ascii="Arial" w:hAnsi="Arial" w:cs="Arial"/>
          <w:b/>
        </w:rPr>
        <w:t xml:space="preserve"> SERVICIO DE LABORATORIOS (ESPECIALES) :</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w:t>
      </w:r>
      <w:r>
        <w:rPr>
          <w:rFonts w:ascii="Arial" w:hAnsi="Arial" w:cs="Arial"/>
          <w:u w:val="single"/>
        </w:rPr>
        <w:t>Serología:</w:t>
      </w:r>
      <w:r>
        <w:rPr>
          <w:rFonts w:ascii="Arial" w:hAnsi="Arial" w:cs="Arial"/>
          <w:b/>
        </w:rPr>
        <w:t xml:space="preserve"> </w:t>
      </w:r>
      <w:r>
        <w:rPr>
          <w:rFonts w:ascii="Arial" w:hAnsi="Arial" w:cs="Arial"/>
        </w:rPr>
        <w:t xml:space="preserve">VDRL, Toxo , IgG, IgM, HIV, H. Pilory, </w:t>
      </w:r>
      <w:r>
        <w:rPr>
          <w:rFonts w:ascii="Arial" w:hAnsi="Arial" w:cs="Arial"/>
          <w:u w:val="single"/>
        </w:rPr>
        <w:t>Bioquimica:</w:t>
      </w:r>
      <w:r>
        <w:rPr>
          <w:rFonts w:ascii="Arial" w:hAnsi="Arial" w:cs="Arial"/>
          <w:b/>
        </w:rPr>
        <w:t xml:space="preserve"> </w:t>
      </w:r>
      <w:r>
        <w:rPr>
          <w:rFonts w:ascii="Arial" w:hAnsi="Arial" w:cs="Arial"/>
        </w:rPr>
        <w:t xml:space="preserve">CPK-MB, Troponina T, HbA1c, </w:t>
      </w:r>
      <w:r>
        <w:rPr>
          <w:rFonts w:ascii="Arial" w:hAnsi="Arial" w:cs="Arial"/>
          <w:u w:val="single"/>
        </w:rPr>
        <w:t>Bacteriología </w:t>
      </w:r>
      <w:r>
        <w:rPr>
          <w:rFonts w:ascii="Arial" w:hAnsi="Arial" w:cs="Arial"/>
        </w:rPr>
        <w:t xml:space="preserve">: Urocultivo, Hemocultivo,  Coprocultivo,  Espermocultivo, Cultivo de Líquido Cefalorraquídeo,  Cultivo de Liquido Pleural, Cultivo de Liquido Sinovial, Cultivo de Esputo, Cultivo de Liquido Ascistico,  Cultivo de Liquido Peritoneal, Cultivo de Exudado Faríngeo, Cultivo de Secreción Nasal, Cultivo de Secreción Ocular, Cultivo de Secreción Otica,  Cultivo de Secreción de Herida, Cultivo de Secreción de Herida Post Operatorio, Cultivo de Ulceras, Cultivos de Abscesos, Cultivos de Secreción Vaginal, Cultivos de Secreción Uretral,  Cultivos de Escaras. </w:t>
      </w:r>
      <w:r>
        <w:rPr>
          <w:rFonts w:ascii="Arial" w:hAnsi="Arial" w:cs="Arial"/>
          <w:b/>
        </w:rPr>
        <w:t>3.- Exámenes Preoperatorios</w:t>
      </w:r>
      <w:r>
        <w:rPr>
          <w:rFonts w:ascii="Arial" w:hAnsi="Arial" w:cs="Arial"/>
        </w:rPr>
        <w:t xml:space="preserve"> (solo para procedimientos y estudios realizados en este centro de salud) </w:t>
      </w:r>
      <w:r>
        <w:rPr>
          <w:rFonts w:ascii="Arial" w:hAnsi="Arial" w:cs="Arial"/>
          <w:b/>
        </w:rPr>
        <w:t>4.-Ecogramas Básicos</w:t>
      </w:r>
      <w:r>
        <w:rPr>
          <w:rFonts w:ascii="Arial" w:hAnsi="Arial" w:cs="Arial"/>
        </w:rPr>
        <w:t xml:space="preserve">: Transvaginal, Hepatobiliar, Abdominal, Pélvico, Renal. </w:t>
      </w:r>
      <w:r>
        <w:rPr>
          <w:rFonts w:ascii="Arial" w:hAnsi="Arial" w:cs="Arial"/>
          <w:b/>
        </w:rPr>
        <w:t>5.-Ecogramas Especiales:</w:t>
      </w:r>
      <w:r>
        <w:rPr>
          <w:rFonts w:ascii="Arial" w:hAnsi="Arial" w:cs="Arial"/>
        </w:rPr>
        <w:t xml:space="preserve"> Transfontanelar, Mamario, Partes Blandas (cuello-piel-abdomen), Prostático Vesical, Testicular, Tiroideo, Prostático Transrectal vía Pélvica, Doppler Renal–Abdominal, Doppler Arterial y Venoso, Doppler Testicular, Doppler Tiroideo. </w:t>
      </w:r>
      <w:r>
        <w:rPr>
          <w:rFonts w:ascii="Arial" w:hAnsi="Arial" w:cs="Arial"/>
          <w:b/>
        </w:rPr>
        <w:t>6.-</w:t>
      </w:r>
      <w:r>
        <w:rPr>
          <w:rFonts w:ascii="Arial" w:hAnsi="Arial" w:cs="Arial"/>
        </w:rPr>
        <w:t xml:space="preserve"> </w:t>
      </w:r>
      <w:r>
        <w:rPr>
          <w:rFonts w:ascii="Arial" w:hAnsi="Arial" w:cs="Arial"/>
          <w:b/>
        </w:rPr>
        <w:t>Ecograma de Maternidad</w:t>
      </w:r>
      <w:r>
        <w:rPr>
          <w:rFonts w:ascii="Arial" w:hAnsi="Arial" w:cs="Arial"/>
        </w:rPr>
        <w:t>: Obstétrico, Morfogenetico, Perfil Biofísico, Perfil Hemodinámico</w:t>
      </w:r>
      <w:r>
        <w:rPr>
          <w:rFonts w:ascii="Arial" w:hAnsi="Arial" w:cs="Arial"/>
          <w:b/>
        </w:rPr>
        <w:t>. 7.- Servicio de Radiología</w:t>
      </w:r>
      <w:r>
        <w:rPr>
          <w:rFonts w:ascii="Arial" w:hAnsi="Arial" w:cs="Arial"/>
        </w:rPr>
        <w:t xml:space="preserve">: Tórax, Pie, Muñeca, Manos, Rodilla, Hombro AP caudal/verdadera/cefalocaudal, Cadera, Calcáneo, Cavum, Cráneo,  Columna Lumbo Sacra AP-LAT, Columna Cervical AP LAT, Silla Turca, Columna Toraco Lumbar , Abdomen de pie, peso máximo para realizar rayos x hasta 90 kg. </w:t>
      </w:r>
      <w:r>
        <w:rPr>
          <w:rFonts w:ascii="Arial" w:hAnsi="Arial" w:cs="Arial"/>
          <w:b/>
        </w:rPr>
        <w:t>8.-</w:t>
      </w:r>
      <w:r>
        <w:rPr>
          <w:rFonts w:ascii="Arial" w:hAnsi="Arial" w:cs="Arial"/>
        </w:rPr>
        <w:t xml:space="preserve"> </w:t>
      </w:r>
      <w:r>
        <w:rPr>
          <w:rFonts w:ascii="Arial" w:hAnsi="Arial" w:cs="Arial"/>
          <w:b/>
        </w:rPr>
        <w:t>Servicio de Mamografía</w:t>
      </w:r>
      <w:r>
        <w:rPr>
          <w:rFonts w:ascii="Arial" w:hAnsi="Arial" w:cs="Arial"/>
        </w:rPr>
        <w:t xml:space="preserve">. </w:t>
      </w:r>
      <w:r>
        <w:rPr>
          <w:rFonts w:ascii="Arial" w:hAnsi="Arial" w:cs="Arial"/>
          <w:b/>
        </w:rPr>
        <w:t xml:space="preserve">9.- Servicio de Tomografía Simple (sin contraste):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rPr>
        <w:t xml:space="preserve"> 10.-</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12.-Citología vaginal</w:t>
      </w:r>
      <w:r>
        <w:rPr>
          <w:rFonts w:ascii="Arial" w:hAnsi="Arial" w:cs="Arial"/>
        </w:rPr>
        <w:t xml:space="preserve"> (una vez al año) para cada miembro femenino del grupo familiar. </w:t>
      </w:r>
      <w:r>
        <w:rPr>
          <w:rFonts w:ascii="Arial" w:hAnsi="Arial" w:cs="Arial"/>
          <w:b/>
        </w:rPr>
        <w:t>13.- Cardiología</w:t>
      </w:r>
      <w:r>
        <w:rPr>
          <w:rFonts w:ascii="Arial" w:hAnsi="Arial" w:cs="Arial"/>
        </w:rPr>
        <w:t xml:space="preserve">: Electrocardiograma, Ecocardiograma, Mapa, Holter, Valoración Cardiovascular pre operatorio para procedimientos y estudios realizados en este centro de salud. </w:t>
      </w:r>
      <w:r>
        <w:rPr>
          <w:rFonts w:ascii="Arial" w:hAnsi="Arial" w:cs="Arial"/>
          <w:b/>
        </w:rPr>
        <w:t>14.- Servicio de Emergencias</w:t>
      </w:r>
      <w:r>
        <w:rPr>
          <w:rFonts w:ascii="Arial" w:hAnsi="Arial" w:cs="Arial"/>
        </w:rPr>
        <w:t xml:space="preserve"> las 24 horas del día, entendiéndose como tales aquellas que no puedan ser atendidas en una consulta médica de rutina. </w:t>
      </w:r>
      <w:r>
        <w:rPr>
          <w:rFonts w:ascii="Arial" w:hAnsi="Arial" w:cs="Arial"/>
          <w:b/>
        </w:rPr>
        <w:t>15.-</w:t>
      </w:r>
      <w:r>
        <w:rPr>
          <w:rFonts w:ascii="Arial" w:hAnsi="Arial" w:cs="Arial"/>
        </w:rPr>
        <w:t xml:space="preserve"> </w:t>
      </w:r>
      <w:r>
        <w:rPr>
          <w:rFonts w:ascii="Arial" w:hAnsi="Arial" w:cs="Arial"/>
          <w:b/>
        </w:rPr>
        <w:t>Cirugías Electivas  y Cirugías de Emergencia  de las siguientes especialidades.</w:t>
      </w:r>
      <w:r>
        <w:rPr>
          <w:rFonts w:ascii="Arial" w:hAnsi="Arial" w:cs="Arial"/>
        </w:rPr>
        <w:t xml:space="preserve"> </w:t>
      </w:r>
      <w:r>
        <w:rPr>
          <w:rFonts w:ascii="Arial" w:hAnsi="Arial" w:cs="Arial"/>
          <w:b/>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w:t>
      </w:r>
      <w:bookmarkStart w:id="0" w:name="_GoBack"/>
      <w:bookmarkEnd w:id="0"/>
      <w:r>
        <w:rPr>
          <w:rFonts w:ascii="Arial" w:hAnsi="Arial" w:cs="Arial"/>
        </w:rPr>
        <w:t xml:space="preserve">Lesiones de piel y partes blandas (verrugas, baso celular, lunares), Quistes, Lipomas. </w:t>
      </w:r>
      <w:r>
        <w:rPr>
          <w:rFonts w:ascii="Arial" w:hAnsi="Arial" w:cs="Arial"/>
          <w:b/>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(aplican excepciones exclusión), Trauma Hepático, Trauma Esplénico. </w:t>
      </w:r>
      <w:r>
        <w:rPr>
          <w:rFonts w:ascii="Arial" w:hAnsi="Arial" w:cs="Arial"/>
          <w:b/>
          <w:u w:val="single"/>
        </w:rPr>
        <w:t>Cirugías Pediátricas (Electivas):</w:t>
      </w:r>
      <w:r>
        <w:rPr>
          <w:rFonts w:ascii="Arial" w:hAnsi="Arial" w:cs="Arial"/>
          <w:b/>
        </w:rPr>
        <w:t xml:space="preserve"> </w:t>
      </w:r>
      <w:r>
        <w:rPr>
          <w:rFonts w:ascii="Arial" w:hAnsi="Arial" w:cs="Arial"/>
        </w:rPr>
        <w:t xml:space="preserve">Hernia Umbilical, Hernia Inguinal, Hernia Crural, Hidrocele, Lesiones de piel y partes (verrugas, baso celular, lunares),  blandas, Lipoma, Quistes. </w:t>
      </w:r>
      <w:r>
        <w:rPr>
          <w:rFonts w:ascii="Arial" w:hAnsi="Arial" w:cs="Arial"/>
          <w:b/>
          <w:u w:val="single"/>
        </w:rPr>
        <w:t>Cirugía Pediátrica (Emergencia):</w:t>
      </w:r>
      <w:r>
        <w:rPr>
          <w:rFonts w:ascii="Arial" w:hAnsi="Arial" w:cs="Arial"/>
        </w:rPr>
        <w:t xml:space="preserve"> Apendicitis, Traumatismos Abdominales. </w:t>
      </w:r>
      <w:r>
        <w:rPr>
          <w:rFonts w:ascii="Arial" w:hAnsi="Arial" w:cs="Arial"/>
          <w:b/>
          <w:u w:val="single"/>
        </w:rPr>
        <w:t>Urología (Electiva):</w:t>
      </w:r>
      <w:r>
        <w:rPr>
          <w:rFonts w:ascii="Arial" w:hAnsi="Arial" w:cs="Arial"/>
          <w:b/>
        </w:rPr>
        <w:t xml:space="preserve"> </w:t>
      </w:r>
      <w:r>
        <w:rPr>
          <w:rFonts w:ascii="Arial" w:hAnsi="Arial" w:cs="Arial"/>
        </w:rPr>
        <w:t xml:space="preserve">Varicocele, Hidrocele, Hernia Inguinal, Fimosis. </w:t>
      </w:r>
      <w:r>
        <w:rPr>
          <w:rFonts w:ascii="Arial" w:hAnsi="Arial" w:cs="Arial"/>
          <w:b/>
          <w:u w:val="single"/>
        </w:rPr>
        <w:t>Urología (Emergencia):</w:t>
      </w:r>
      <w:r>
        <w:rPr>
          <w:rFonts w:ascii="Arial" w:hAnsi="Arial" w:cs="Arial"/>
          <w:b/>
        </w:rPr>
        <w:t xml:space="preserve"> </w:t>
      </w:r>
      <w:r>
        <w:rPr>
          <w:rFonts w:ascii="Arial" w:hAnsi="Arial" w:cs="Arial"/>
        </w:rPr>
        <w:t xml:space="preserve">Torsión Testicular, Traumatismo del Pene, Traumatismo Renal. </w:t>
      </w:r>
      <w:r>
        <w:rPr>
          <w:rFonts w:ascii="Arial" w:hAnsi="Arial" w:cs="Arial"/>
          <w:b/>
          <w:u w:val="single"/>
        </w:rPr>
        <w:t>Otorrinolaringología (Electivas):</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Pr>
          <w:rFonts w:ascii="Arial" w:hAnsi="Arial" w:cs="Arial"/>
          <w:b/>
          <w:u w:val="single"/>
        </w:rPr>
        <w:t>Otorrinolaringología (Emergencias):</w:t>
      </w:r>
      <w:r>
        <w:rPr>
          <w:rFonts w:ascii="Arial" w:hAnsi="Arial" w:cs="Arial"/>
          <w:b/>
        </w:rPr>
        <w:t xml:space="preserve"> </w:t>
      </w:r>
      <w:r>
        <w:rPr>
          <w:rFonts w:ascii="Arial" w:hAnsi="Arial" w:cs="Arial"/>
        </w:rPr>
        <w:t xml:space="preserve">Fractura nasal (tabique-huesos propios de nariz), Hematoma Septal, Absceso Admigdalar. </w:t>
      </w:r>
      <w:r>
        <w:rPr>
          <w:rFonts w:ascii="Arial" w:hAnsi="Arial" w:cs="Arial"/>
          <w:b/>
          <w:u w:val="single"/>
        </w:rPr>
        <w:t>Traumatología (Electivas):</w:t>
      </w:r>
      <w:r>
        <w:rPr>
          <w:rFonts w:ascii="Arial" w:hAnsi="Arial" w:cs="Arial"/>
          <w:b/>
        </w:rPr>
        <w:t xml:space="preserve"> </w:t>
      </w:r>
      <w:r>
        <w:rPr>
          <w:rFonts w:ascii="Arial" w:hAnsi="Arial" w:cs="Arial"/>
        </w:rPr>
        <w:t xml:space="preserve">Síndrome Túnel Carpiano, Dedo en gatillo, Onicocriptosis, Enfermedad Dquervain, Síndrome de canal de Guyon, Sindrome de canal cubital. </w:t>
      </w:r>
      <w:r>
        <w:rPr>
          <w:rFonts w:ascii="Arial" w:hAnsi="Arial" w:cs="Arial"/>
          <w:b/>
          <w:u w:val="single"/>
        </w:rPr>
        <w:t>Traumatología (Emergencias):</w:t>
      </w:r>
      <w:r>
        <w:rPr>
          <w:rFonts w:ascii="Arial" w:hAnsi="Arial" w:cs="Arial"/>
          <w:b/>
        </w:rPr>
        <w:t xml:space="preserve"> Fracturas postraumáticas accidentales de miembro superior: a) </w:t>
      </w:r>
      <w:r>
        <w:rPr>
          <w:rFonts w:ascii="Arial" w:hAnsi="Arial" w:cs="Arial"/>
        </w:rPr>
        <w:t>Falanges</w:t>
      </w:r>
      <w:r>
        <w:rPr>
          <w:rFonts w:ascii="Arial" w:hAnsi="Arial" w:cs="Arial"/>
          <w:b/>
        </w:rPr>
        <w:t>,</w:t>
      </w:r>
      <w:r>
        <w:rPr>
          <w:rFonts w:ascii="Arial" w:hAnsi="Arial" w:cs="Arial"/>
        </w:rPr>
        <w:t xml:space="preserve"> b) Metacarpianos, c) Radio (no articular), d) Cubito (No articular), Clavícula. </w:t>
      </w:r>
      <w:r>
        <w:rPr>
          <w:rFonts w:ascii="Arial" w:hAnsi="Arial" w:cs="Arial"/>
          <w:b/>
        </w:rPr>
        <w:t xml:space="preserve">Fracturas postraumáticas accidentales de miembro Inferior: </w:t>
      </w:r>
      <w:r>
        <w:rPr>
          <w:rFonts w:ascii="Arial" w:hAnsi="Arial" w:cs="Arial"/>
        </w:rPr>
        <w:t xml:space="preserve">a) Tibia (no articular),b) Peroné (No articular),c) Fémur. </w:t>
      </w:r>
      <w:r>
        <w:rPr>
          <w:rFonts w:ascii="Arial" w:hAnsi="Arial" w:cs="Arial"/>
          <w:b/>
        </w:rPr>
        <w:t xml:space="preserve">Luxaciones de miembro Superior: </w:t>
      </w:r>
      <w:r>
        <w:rPr>
          <w:rFonts w:ascii="Arial" w:hAnsi="Arial" w:cs="Arial"/>
        </w:rPr>
        <w:t xml:space="preserve">a) Hombro, b) Codo, c) Muñeca, d) Digitales. </w:t>
      </w:r>
      <w:r>
        <w:rPr>
          <w:rFonts w:ascii="Arial" w:hAnsi="Arial" w:cs="Arial"/>
          <w:b/>
        </w:rPr>
        <w:t xml:space="preserve">Luxaciones de miembro Inferior: </w:t>
      </w:r>
      <w:r>
        <w:rPr>
          <w:rFonts w:ascii="Arial" w:hAnsi="Arial" w:cs="Arial"/>
        </w:rPr>
        <w:t>a) Tobillo (no asociado a fracturas), Esguinces</w:t>
      </w:r>
      <w:r>
        <w:rPr>
          <w:rFonts w:ascii="Arial" w:hAnsi="Arial" w:cs="Arial"/>
          <w:b/>
        </w:rPr>
        <w:t xml:space="preserve">. Amputaciones Traumáticas: </w:t>
      </w:r>
      <w:r>
        <w:rPr>
          <w:rFonts w:ascii="Arial" w:hAnsi="Arial" w:cs="Arial"/>
        </w:rPr>
        <w:t>Punta de dedo (manos y pies)</w:t>
      </w:r>
      <w:r>
        <w:rPr>
          <w:rFonts w:ascii="Arial" w:hAnsi="Arial" w:cs="Arial"/>
          <w:b/>
        </w:rPr>
        <w:t xml:space="preserve">. </w:t>
      </w:r>
      <w:r>
        <w:rPr>
          <w:rFonts w:ascii="Arial" w:hAnsi="Arial" w:cs="Arial"/>
          <w:b/>
          <w:u w:val="single"/>
        </w:rPr>
        <w:t>Mastologia (Electiva):</w:t>
      </w:r>
      <w:r>
        <w:rPr>
          <w:rFonts w:ascii="Arial" w:hAnsi="Arial" w:cs="Arial"/>
          <w:b/>
        </w:rPr>
        <w:t xml:space="preserve"> </w:t>
      </w:r>
      <w:r>
        <w:rPr>
          <w:rFonts w:ascii="Arial" w:hAnsi="Arial" w:cs="Arial"/>
        </w:rPr>
        <w:t xml:space="preserve">Exceresis de fibroadenoma de mama, exceresis de quiste mamario, Recesión de centro mamario, Tumorectomia de mama, Mastectomía Parcial, Mastectomía Radical, disección axilar, drenaje de absceso </w:t>
      </w:r>
      <w:r>
        <w:rPr>
          <w:rFonts w:ascii="Arial" w:hAnsi="Arial" w:cs="Arial"/>
          <w:b/>
          <w:u w:val="single"/>
        </w:rPr>
        <w:t>Mastologia (Emergencia</w:t>
      </w:r>
      <w:r>
        <w:rPr>
          <w:rFonts w:ascii="Arial" w:hAnsi="Arial" w:cs="Arial"/>
          <w:b/>
        </w:rPr>
        <w:t xml:space="preserve">): </w:t>
      </w:r>
      <w:r>
        <w:rPr>
          <w:rFonts w:ascii="Arial" w:hAnsi="Arial" w:cs="Arial"/>
        </w:rPr>
        <w:t xml:space="preserve">Drenaje de absceso. (Siempre y cuando este no sea consecuencia directa o indirecta de implante de prótesis o de alguna patología preexistencia). </w:t>
      </w:r>
      <w:r>
        <w:rPr>
          <w:rFonts w:ascii="Arial" w:hAnsi="Arial" w:cs="Arial"/>
          <w:b/>
          <w:u w:val="single"/>
        </w:rPr>
        <w:t xml:space="preserve">Neurocirugía (emergencia) </w:t>
      </w:r>
      <w:r>
        <w:rPr>
          <w:rFonts w:ascii="Arial" w:hAnsi="Arial" w:cs="Arial"/>
        </w:rPr>
        <w:t xml:space="preserve">Cura y plastia de herida. </w:t>
      </w:r>
      <w:r>
        <w:rPr>
          <w:rFonts w:ascii="Arial" w:hAnsi="Arial" w:cs="Arial"/>
          <w:b/>
          <w:u w:val="single"/>
        </w:rPr>
        <w:t>Ginecología:</w:t>
      </w:r>
      <w:r>
        <w:rPr>
          <w:rFonts w:ascii="Arial" w:hAnsi="Arial" w:cs="Arial"/>
          <w:b/>
        </w:rPr>
        <w:t xml:space="preserve"> </w:t>
      </w:r>
      <w:r>
        <w:rPr>
          <w:rFonts w:ascii="Arial" w:hAnsi="Arial" w:cs="Arial"/>
        </w:rPr>
        <w:t>Cuando el embarazo es concebido después de  seis (6) meses ininterrumpido de haber adquirido el Plan: Parto  Natural</w:t>
      </w:r>
      <w:r>
        <w:rPr>
          <w:rFonts w:ascii="Arial" w:hAnsi="Arial" w:cs="Arial"/>
          <w:b/>
        </w:rPr>
        <w:t xml:space="preserve">, </w:t>
      </w:r>
      <w:r>
        <w:rPr>
          <w:rFonts w:ascii="Arial" w:hAnsi="Arial" w:cs="Arial"/>
        </w:rPr>
        <w:t xml:space="preserve">Cesárea, Embarazo Ectópico, Legrado o Aspiración Uterina.  </w:t>
      </w:r>
      <w:r>
        <w:rPr>
          <w:rFonts w:ascii="Arial" w:hAnsi="Arial" w:cs="Arial"/>
          <w:b/>
          <w:u w:val="single"/>
        </w:rPr>
        <w:t>Ginecología (Electivas)</w:t>
      </w:r>
      <w:r>
        <w:rPr>
          <w:rFonts w:ascii="Arial" w:hAnsi="Arial" w:cs="Arial"/>
          <w:u w:val="single"/>
        </w:rPr>
        <w:t>:</w:t>
      </w:r>
      <w:r>
        <w:rPr>
          <w:rFonts w:ascii="Arial" w:hAnsi="Arial" w:cs="Arial"/>
        </w:rPr>
        <w:t xml:space="preserve"> Miomectomía, Tumoración Benigna de Ovarios  Histerectomía. </w:t>
      </w:r>
      <w:r>
        <w:rPr>
          <w:rFonts w:ascii="Arial" w:hAnsi="Arial" w:cs="Arial"/>
          <w:b/>
          <w:u w:val="single"/>
        </w:rPr>
        <w:t>Ginecología (Emergencia)</w:t>
      </w:r>
      <w:r>
        <w:rPr>
          <w:rFonts w:ascii="Arial" w:hAnsi="Arial" w:cs="Arial"/>
          <w:u w:val="single"/>
        </w:rPr>
        <w:t>:</w:t>
      </w:r>
      <w:r>
        <w:rPr>
          <w:rFonts w:ascii="Arial" w:hAnsi="Arial" w:cs="Arial"/>
        </w:rPr>
        <w:t xml:space="preserve"> Traumatismo Vulvar y/o vaginal. Legrado uterino por fibromatosis (cuando ocurra después del 1 año de contrato). </w:t>
      </w:r>
      <w:r>
        <w:rPr>
          <w:rFonts w:ascii="Arial" w:hAnsi="Arial" w:cs="Arial"/>
          <w:b/>
        </w:rPr>
        <w:t xml:space="preserve"> Las cirugías no mencionadas taxativamente en este condicionado no están cubiertas.</w:t>
      </w:r>
      <w:r>
        <w:rPr>
          <w:rFonts w:ascii="Arial" w:hAnsi="Arial" w:cs="Arial"/>
        </w:rPr>
        <w:t xml:space="preserve"> </w:t>
      </w:r>
      <w:r>
        <w:rPr>
          <w:rFonts w:ascii="Arial" w:hAnsi="Arial" w:cs="Arial"/>
          <w:b/>
        </w:rPr>
        <w:t>16.- Unidad de cuidados Intensivos.</w:t>
      </w:r>
      <w:r>
        <w:rPr>
          <w:rFonts w:ascii="Arial" w:hAnsi="Arial" w:cs="Arial"/>
        </w:rPr>
        <w:t xml:space="preserve"> </w:t>
      </w:r>
      <w:r>
        <w:rPr>
          <w:rFonts w:ascii="Arial" w:hAnsi="Arial" w:cs="Arial"/>
          <w:b/>
        </w:rPr>
        <w:t>17.- Servicio de Hospitalización Adultos y Pediátricos</w:t>
      </w:r>
      <w:r>
        <w:rPr>
          <w:rFonts w:ascii="Arial" w:hAnsi="Arial" w:cs="Arial"/>
        </w:rPr>
        <w:t xml:space="preserve">. Con cobertura  de gastos clínicos y honorarios profesionales si la causa de ingreso intrahospitalario es tratada con algunos de los especialista del directorio medico de </w:t>
      </w:r>
      <w:r>
        <w:rPr>
          <w:rFonts w:ascii="Arial" w:hAnsi="Arial" w:cs="Arial"/>
          <w:b/>
        </w:rPr>
        <w:t xml:space="preserve">Plan Medico Salud Zulia.  18. Dermatología Estética: </w:t>
      </w:r>
      <w:r>
        <w:rPr>
          <w:rFonts w:ascii="Arial" w:hAnsi="Arial" w:cs="Arial"/>
        </w:rPr>
        <w:t xml:space="preserve">Limpieza facial, Peeling Facial, Cauterización de lesiones, Tratamiento anticaida de cabello, Aclaramiento de Axilas y área del bikini.  </w:t>
      </w:r>
      <w:r>
        <w:rPr>
          <w:rFonts w:ascii="Arial" w:hAnsi="Arial" w:cs="Arial"/>
          <w:b/>
        </w:rPr>
        <w:t xml:space="preserve">19.- Peluquería y Manicure: </w:t>
      </w:r>
      <w:r>
        <w:rPr>
          <w:rFonts w:ascii="Arial" w:hAnsi="Arial" w:cs="Arial"/>
        </w:rPr>
        <w:t>cortes, secado y planchado damas y caballeros a partir de 12 años. Manicure solo arreglo de manos con esmaltes (sencillos) no aplica para químicos, dos turnos al mes por afiliado.</w:t>
      </w:r>
    </w:p>
    <w:p w14:paraId="40EA2C45">
      <w:pPr>
        <w:spacing w:line="276" w:lineRule="auto"/>
        <w:jc w:val="both"/>
        <w:rPr>
          <w:rFonts w:ascii="Arial" w:hAnsi="Arial" w:cs="Arial"/>
        </w:rPr>
      </w:pPr>
    </w:p>
    <w:p w14:paraId="7F5297E4">
      <w:pPr>
        <w:spacing w:line="276" w:lineRule="auto"/>
        <w:jc w:val="both"/>
        <w:rPr>
          <w:rFonts w:ascii="Arial" w:hAnsi="Arial" w:eastAsia="Arial Unicode MS" w:cs="Arial"/>
        </w:rPr>
      </w:pPr>
      <w:r>
        <w:rPr>
          <w:rFonts w:ascii="Arial" w:hAnsi="Arial" w:cs="Arial"/>
          <w:b/>
        </w:rPr>
        <w:t>4. ESPECIALIDADES MÉDICAS OFRECIDAS</w:t>
      </w:r>
      <w:r>
        <w:rPr>
          <w:rFonts w:ascii="Arial" w:hAnsi="Arial" w:cs="Arial"/>
        </w:rPr>
        <w:t xml:space="preserve"> </w:t>
      </w:r>
      <w:r>
        <w:rPr>
          <w:rFonts w:ascii="Arial" w:hAnsi="Arial" w:cs="Arial"/>
          <w:b/>
        </w:rPr>
        <w:t>BASICAS:</w:t>
      </w:r>
      <w:r>
        <w:rPr>
          <w:rFonts w:ascii="Arial" w:hAnsi="Arial" w:cs="Arial"/>
        </w:rPr>
        <w:t xml:space="preserve"> Medicina General a partir de 17 años de edad , Medicina Interna a partir de 17 años de edad, Pediatría hasta los 16 años de edad,  Ginecología a partir de los 8 años de edad,  </w:t>
      </w:r>
      <w:r>
        <w:rPr>
          <w:rFonts w:ascii="Arial" w:hAnsi="Arial" w:cs="Arial"/>
          <w:b/>
        </w:rPr>
        <w:t>ESPECIALZADAS;</w:t>
      </w:r>
      <w:r>
        <w:rPr>
          <w:rFonts w:ascii="Arial" w:hAnsi="Arial" w:cs="Arial"/>
        </w:rPr>
        <w:t xml:space="preserve"> Ginecología a partir de  8 años de edad, Cardiología Adulto a partir de 18 años de edad, Cirugía General a partir de 17 años de edad, Cirugía Pediátrica hasta 16 años de edad, Dermatología niños y adultos, Gastroenterología Adulto a partir de 18 años de edad, Hematología niños y adultos , Nefrología Adulto a partir de 18 años de edad, Neumonología niños y adultos, Nutrición niños y adultos, Odontología niños y adultos, Psicología a partir de 8 años de edad, Oftalmología niños y adultos , Otorrinolaringología niños y adultos , Reumatología a partir de 18 años de edad, Traumatología niños y adultos, Urología a partir de 15 años de edad , Anestesiología niños y adultos, Neurología Adultos a partir de 18 años, Neurología Pediátrica hasta 17 años, Mastologia a partir de 15 años de edad, Neurocirugía  niños y adultos,</w:t>
      </w:r>
      <w:r>
        <w:rPr>
          <w:rFonts w:ascii="Arial" w:hAnsi="Arial" w:eastAsia="Arial Unicode MS" w:cs="Arial"/>
        </w:rPr>
        <w:t xml:space="preserve"> ciertas especialidades pueden ser ofrecidas de manera temporal. </w:t>
      </w:r>
    </w:p>
    <w:p w14:paraId="4C131EC6">
      <w:pPr>
        <w:spacing w:line="276" w:lineRule="auto"/>
        <w:jc w:val="both"/>
        <w:rPr>
          <w:rFonts w:ascii="Arial" w:hAnsi="Arial" w:eastAsia="Arial Unicode MS" w:cs="Arial"/>
        </w:rPr>
      </w:pPr>
      <w:r>
        <w:rPr>
          <w:rFonts w:ascii="Arial" w:hAnsi="Arial" w:cs="Arial"/>
        </w:rPr>
        <w:t xml:space="preserve"> </w:t>
      </w:r>
    </w:p>
    <w:p w14:paraId="2C04D5AA">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Los servicios de asistencia médica prestados por Plan Médico Salud Zulia C.A, mencionados en el numeral 3, serán ofrecidos en su totalidad  en la </w:t>
      </w:r>
      <w:r>
        <w:rPr>
          <w:rFonts w:ascii="Arial" w:hAnsi="Arial" w:cs="Arial"/>
          <w:b/>
        </w:rPr>
        <w:t xml:space="preserve">sede Principal de Plan Medico Salud Zulia </w:t>
      </w:r>
      <w:r>
        <w:rPr>
          <w:rFonts w:ascii="Arial" w:hAnsi="Arial" w:cs="Arial"/>
        </w:rPr>
        <w:t>ubicada en calle 99 C, Edificio Salud Zulia, Nº 19H-10, Urbanización Urdaneta Sector Sabaneta del Municipio Maracaibo del Estado Zulia,</w:t>
      </w:r>
      <w:r>
        <w:rPr>
          <w:rFonts w:ascii="Arial" w:hAnsi="Arial" w:cs="Arial"/>
          <w:b/>
        </w:rPr>
        <w:t xml:space="preserve"> </w:t>
      </w:r>
      <w:r>
        <w:rPr>
          <w:rFonts w:ascii="Arial" w:hAnsi="Arial" w:cs="Arial"/>
        </w:rPr>
        <w:t xml:space="preserve"> en conjunto con el </w:t>
      </w:r>
      <w:r>
        <w:rPr>
          <w:rFonts w:ascii="Arial" w:hAnsi="Arial" w:cs="Arial"/>
          <w:b/>
        </w:rPr>
        <w:t>Centro Clínico Materno Pediátrico Zulia</w:t>
      </w:r>
      <w:r>
        <w:rPr>
          <w:rFonts w:ascii="Arial" w:hAnsi="Arial" w:cs="Arial"/>
        </w:rPr>
        <w:t xml:space="preserve">. El contratante afiliado y su grupo familiar tendrán derecho a  los servicios básicos  que se encuentren disponibles  en las  Sucursales de Plan Medico Salud Zulia ubicadas en el territorio venezolano y los servicios especiales  siempre y cuando cumplan los plazos de espera exigidos para estos. El afiliado  podrá disfrutar de los servicios ofrecidos en las sucursales según los beneficios contratados   siempre y cuando estos servicios se encuentren disponibles, por lo que en caso de necesitar la atención de servicios  no disponibles en las sucursales,  deberán acudir a sede principal si fuese el caso.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 considerado como motivo suficiente para proceder a la suspensión del servicio. Los exámenes de diagnóstico que no están expresamente contemplados en éste contrato no serán cubiertos ni reembolsados, así como los estudios que estando contemplados, no puedan realizarse  por fuerza mayor o por que los equipos no estén operativos para el momento, no serán cubiertos ni reembolsados. Cuando el afiliado se encuentre en el servicio de Hospitalización y requiera algún examen y/o estudio de diagnóstico cubierto en este condicionado y éste no pueda ser realizado por circunstancias imputables a PLAN MEDICO SALUD ZULIA, el afiliado debe estar autorizado previamente y por escrito a realizarlo de forma particular, en cuyo caso el monto por concepto de reembolso será sumado a la cobertura anual del afiliado. </w:t>
      </w:r>
    </w:p>
    <w:p w14:paraId="1937909E">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por dos especialidades en un mismo día.  El límite de gastos por afiliado y por año contrato para los servicios intrahospitalarios, de clínica, de procedimientos complementarios de diagnóstico, exámenes de laboratorio especializado, es acumulable hasta el monto de cobertura  del plan contratado.  </w:t>
      </w:r>
    </w:p>
    <w:p w14:paraId="1E2E6073">
      <w:pPr>
        <w:spacing w:line="276" w:lineRule="auto"/>
        <w:jc w:val="both"/>
        <w:rPr>
          <w:rFonts w:ascii="Arial" w:hAnsi="Arial" w:cs="Arial"/>
        </w:rPr>
      </w:pPr>
      <w:r>
        <w:rPr>
          <w:rFonts w:ascii="Arial" w:hAnsi="Arial" w:cs="Arial"/>
          <w:b/>
        </w:rPr>
        <w:t>7. CENTRO DE ATENCIÓN HOSPITALARIA</w:t>
      </w:r>
      <w:r>
        <w:rPr>
          <w:rFonts w:ascii="Arial" w:hAnsi="Arial" w:cs="Arial"/>
        </w:rPr>
        <w:t>: Los servicios  previstos en éste contrato, serán otorgados única y exclusivamente por  Plan Medio Salud Zulia, ya sea en la sede principal, en sus sucursales donde esté disponible el servicio requerido  y en el  Centro Clínico Materno Pediátrico Zulia, C.A., cualquier servicio de atención en un centro diferente a los mencionados, no serán objeto de reembolso alguno.</w:t>
      </w:r>
    </w:p>
    <w:p w14:paraId="63B31F54">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siempre que tales necesidades de atención provengan de patologías repentinas o accidentes y siempre que las mismas no puedan ser atendidas dentro del horario de consulta del médico general.</w:t>
      </w:r>
    </w:p>
    <w:p w14:paraId="37AFA497">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en este contemplado, son intransferibles y válidos con carácter de exclusividad para el contratante afiliado y  sus beneficiarios registrados, no pudiendo por tanto cederse ni transferirse a ninguna otra persona.</w:t>
      </w:r>
    </w:p>
    <w:p w14:paraId="11C60EDA">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expendido por la autoridad competente, en el caso de menores de edad presentar partida de nacimiento.</w:t>
      </w:r>
    </w:p>
    <w:p w14:paraId="389F0C61">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de dos (2) meses  hasta los cincuenta y nueve  (59)  años. Aquellas personas que cumplan 60 años en el mes que decidan afiliarse,  serán incluidas en el Plan Vip Años Dorados, cuyos servicios se encuentran descritos en las </w:t>
      </w:r>
      <w:r>
        <w:rPr>
          <w:rFonts w:ascii="Arial" w:hAnsi="Arial" w:cs="Arial"/>
          <w:b/>
        </w:rPr>
        <w:t>Condiciones Generales Años Dorados</w:t>
      </w:r>
      <w:r>
        <w:rPr>
          <w:rFonts w:ascii="Arial" w:hAnsi="Arial" w:cs="Arial"/>
        </w:rPr>
        <w:t xml:space="preserve"> </w:t>
      </w:r>
    </w:p>
    <w:p w14:paraId="33A4B6B4">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 ingreso quedaran  excluidos  de sus beneficios los siguientes servicios: Hospitalización, Unidad de cuidados intensivos, Maternidad, Cirugías electivas y de emergencias. </w:t>
      </w:r>
    </w:p>
    <w:p w14:paraId="511235B5">
      <w:pPr>
        <w:spacing w:line="276" w:lineRule="auto"/>
        <w:jc w:val="both"/>
        <w:rPr>
          <w:rFonts w:ascii="Arial" w:hAnsi="Arial" w:cs="Arial"/>
        </w:rPr>
      </w:pPr>
      <w:r>
        <w:rPr>
          <w:rFonts w:ascii="Arial" w:hAnsi="Arial" w:cs="Arial"/>
          <w:b/>
        </w:rPr>
        <w:t>13. CAMBIO DE PLANES</w:t>
      </w:r>
      <w:r>
        <w:rPr>
          <w:rFonts w:ascii="Arial" w:hAnsi="Arial" w:cs="Arial"/>
        </w:rPr>
        <w:t>: casos en los cuales el contratante decida hacer un cambio de Plan, éste conservará la antigüedad para los servicios con que ya contaba en el plan que disfrutaba, pero  para poder disfrutar los nuevos beneficios del Plan contratado, deberán cumplir los plazos de espera necesarios y se comenzará a computar a partir del momento en que se haga efectivo el cambio en el sistema.</w:t>
      </w:r>
    </w:p>
    <w:p w14:paraId="7EECCCE6">
      <w:pPr>
        <w:spacing w:line="276" w:lineRule="auto"/>
        <w:jc w:val="both"/>
        <w:rPr>
          <w:rFonts w:ascii="Arial" w:hAnsi="Arial" w:cs="Arial"/>
        </w:rPr>
      </w:pPr>
      <w:r>
        <w:rPr>
          <w:rFonts w:ascii="Arial" w:hAnsi="Arial" w:cs="Arial"/>
          <w:b/>
        </w:rPr>
        <w:t>14. CUOTAS DE AFILIACIÓN:</w:t>
      </w:r>
      <w:r>
        <w:rPr>
          <w:rFonts w:ascii="Arial" w:hAnsi="Arial" w:cs="Arial"/>
        </w:rPr>
        <w:t xml:space="preserve"> Las cuotas de afiliación por los servicios adquiridos por el contratante y su grupo familiar o beneficiarios, será establecido  en  el cuadro recibo y  forma parte del contrato donde se establece el  monto de la cuota mensual por persona, de conformidad con el Plan solicitado y serán  canceladas los primeros cinco (5) días de cada mes calendario; exceptuando los nuevos afiliados que deberán cancelar al momento de la firma del contrato la primera cuota, quedando las subsiguientes de la forma ya establecida. Plan Médico Salud Zulia, C.A. podrá sobre la base de los incrementos en el costo para la prestación de los servicios ofrecidos en el presente contrato, por efecto de la inflación, aumentar el monto de la cuota, notificando al contratante  con treinta (30) días continuos de anticipación.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por parte de Plan Médico Salud Zulia, C.A.,  y deberá el contratante cancelar lo establecido en el PRAGRAFO UNICO del numeral 15 de este condicionado</w:t>
      </w:r>
      <w:r>
        <w:rPr>
          <w:rFonts w:ascii="Arial" w:hAnsi="Arial" w:cs="Arial"/>
          <w:b/>
        </w:rPr>
        <w:t xml:space="preserve">, </w:t>
      </w:r>
      <w:r>
        <w:rPr>
          <w:rFonts w:ascii="Arial" w:hAnsi="Arial" w:cs="Arial"/>
        </w:rPr>
        <w:t>si fuere el caso</w:t>
      </w:r>
      <w:r>
        <w:rPr>
          <w:rFonts w:ascii="Arial" w:hAnsi="Arial" w:cs="Arial"/>
          <w:b/>
        </w:rPr>
        <w:t xml:space="preserve">. </w:t>
      </w:r>
    </w:p>
    <w:p w14:paraId="570A5BA9">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ocultación, supresión o falsa información por parte del contratante en la declaración de salud con respecto a alguna patología, enfermedad preexistente y/o embarazo, ya sea de manera intencional o por desconocimiento, que pueda influenciar la decisión respecto a la solicitud del servicio médico, en cuyo caso el solicitante o afiliado deberá ser sometido a una consulta de preingreso para definir los próximos beneficios a partir de la fecha del resultado de la consulta. </w:t>
      </w:r>
      <w:r>
        <w:rPr>
          <w:rFonts w:ascii="Arial" w:hAnsi="Arial" w:cs="Arial"/>
          <w:b/>
        </w:rPr>
        <w:t>3º)</w:t>
      </w:r>
      <w:r>
        <w:rPr>
          <w:rFonts w:ascii="Arial" w:hAnsi="Arial" w:cs="Arial"/>
        </w:rPr>
        <w:t xml:space="preserve">  Por intento de suplantación o fraude  de identidad  de alguno de los  afiliados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Plan Medico Salud Zulia</w:t>
      </w:r>
      <w:r>
        <w:rPr>
          <w:rFonts w:ascii="Arial" w:hAnsi="Arial" w:cs="Arial"/>
        </w:rPr>
        <w:t xml:space="preserve">  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de los mismos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así como del  Centro Clínico Materno Pediátrico Zulia</w:t>
      </w:r>
      <w:r>
        <w:rPr>
          <w:rFonts w:ascii="Arial" w:hAnsi="Arial" w:cs="Arial"/>
          <w:b/>
        </w:rPr>
        <w:t xml:space="preserve">. 6º) </w:t>
      </w:r>
      <w:r>
        <w:rPr>
          <w:rFonts w:ascii="Arial" w:hAnsi="Arial" w:cs="Arial"/>
        </w:rPr>
        <w:t xml:space="preserve">Síndrome de inmunodeficiencia adquirida (SIDA). </w:t>
      </w:r>
      <w:r>
        <w:rPr>
          <w:rFonts w:ascii="Arial" w:hAnsi="Arial" w:cs="Arial"/>
          <w:b/>
        </w:rPr>
        <w:t>7º)</w:t>
      </w:r>
      <w:r>
        <w:rPr>
          <w:rFonts w:ascii="Arial" w:hAnsi="Arial" w:cs="Arial"/>
        </w:rPr>
        <w:t xml:space="preserve"> Diabetes Tipo I.  </w:t>
      </w:r>
      <w:r>
        <w:rPr>
          <w:rFonts w:ascii="Arial" w:hAnsi="Arial" w:cs="Arial"/>
          <w:b/>
        </w:rPr>
        <w:t>8º)</w:t>
      </w:r>
      <w:r>
        <w:rPr>
          <w:rFonts w:ascii="Arial" w:hAnsi="Arial" w:cs="Arial"/>
        </w:rPr>
        <w:t xml:space="preserve"> Enfermedades de transmisión sexual no declaradas o adquiridas durante la vigencia del contrato. </w:t>
      </w:r>
      <w:r>
        <w:rPr>
          <w:rFonts w:ascii="Arial" w:hAnsi="Arial" w:cs="Arial"/>
          <w:b/>
        </w:rPr>
        <w:t>9º)</w:t>
      </w:r>
      <w:r>
        <w:rPr>
          <w:rFonts w:ascii="Arial" w:hAnsi="Arial" w:cs="Arial"/>
        </w:rPr>
        <w:t xml:space="preserve"> Enfermedades oncológicas nacidas dentro de la vigencia del contrato.  En cualquier otro caso  Plan Medico Salud Zulia, C.A., tendrá el derecho de suspender el servicio de asistencia objeto del contrato  y relevará al centro de atención hospitalaria de la  atención de asistencia médica, hasta tanto Plan Médico Salud Zulia, C.A.,  convenga en la activación del mismo. </w:t>
      </w:r>
      <w:r>
        <w:rPr>
          <w:rFonts w:ascii="Arial" w:hAnsi="Arial" w:cs="Arial"/>
          <w:b/>
        </w:rPr>
        <w:t>PARAGRAFO UNICO</w:t>
      </w:r>
      <w:r>
        <w:rPr>
          <w:rFonts w:ascii="Arial" w:hAnsi="Arial" w:cs="Arial"/>
        </w:rPr>
        <w:t xml:space="preserve">: Cuando por causas imputables al contratante ocurra la anulación del presente contrato, el contratante  deberá cancelar a Plan Médico Salud Zulia, C.A, la diferencia entre lo pagado a través de sus cuotas mensuales y lo consumido por la asistencia médica prestada; si los afiliados no hubiesen usado el servicio,  se considerará consumido el monto total pre pagado como indemnización por daños y perjuicios a favor de Plan Médico Salud Zulia, C.A.  </w:t>
      </w:r>
    </w:p>
    <w:p w14:paraId="4CF2C7EE">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Además del contratante, pueden inscribirse como beneficiarios mediante el pago de la cuota que corresponda y con sujeción de plazos de espera, preexistencia y otras condiciones estipuladas en este contrato, las siguientes personas: el cónyuge o la concubina(o), los hijos dependientes económicamente del titular; los padres del contratante afiliado y de su cónyuge o concubina.  No serán afiliables mujeres en estado de gravidez  o cuando se sospeche del embarazo.   </w:t>
      </w:r>
    </w:p>
    <w:p w14:paraId="69196C37">
      <w:pPr>
        <w:spacing w:line="276" w:lineRule="auto"/>
        <w:jc w:val="both"/>
        <w:rPr>
          <w:rFonts w:ascii="Arial" w:hAnsi="Arial" w:eastAsia="Arial Unicode MS" w:cs="Arial"/>
        </w:rPr>
      </w:pPr>
      <w:r>
        <w:rPr>
          <w:rFonts w:ascii="Arial" w:hAnsi="Arial" w:cs="Arial"/>
          <w:b/>
        </w:rPr>
        <w:t>17. PLAZOS DE ESPERA</w:t>
      </w:r>
      <w:r>
        <w:rPr>
          <w:rFonts w:ascii="Arial" w:hAnsi="Arial" w:cs="Arial"/>
        </w:rPr>
        <w:t xml:space="preserve">: Para los afiliados que originalmente conformen el grupo para el disfrute del Plan Colectivo (40 o más afiliados), no tendrán plazos de espera para gozar de los beneficios ofrecidos, exceptuando mujeres en estado de gravidez y personas mayores de 60 años, que deberá estar aprobado su ingreso como beneficiario por Plan Médico Salud Zulia, C.A. Las enfermedades preexistentes no estarán cubiertas en ningún caso.  Las personas que ingresen posteriormente a la fecha de afiliación inicial  tendrán  los siguientes plazos de espera. 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6 meses</w:t>
      </w:r>
      <w:r>
        <w:rPr>
          <w:rFonts w:ascii="Arial" w:hAnsi="Arial" w:cs="Arial"/>
        </w:rPr>
        <w:t xml:space="preserve"> para unidad de cuidados intensivo,; </w:t>
      </w:r>
      <w:r>
        <w:rPr>
          <w:rFonts w:ascii="Arial" w:hAnsi="Arial" w:cs="Arial"/>
          <w:b/>
          <w:u w:val="single"/>
        </w:rPr>
        <w:t>3 meses</w:t>
      </w:r>
      <w:r>
        <w:rPr>
          <w:rFonts w:ascii="Arial" w:hAnsi="Arial" w:cs="Arial"/>
          <w:b/>
        </w:rPr>
        <w:t xml:space="preserve"> </w:t>
      </w:r>
      <w:r>
        <w:rPr>
          <w:rFonts w:ascii="Arial" w:hAnsi="Arial" w:cs="Arial"/>
        </w:rPr>
        <w:t>para el servicio de estudios especiales, (tomografía simple sin contraste, mamografía (1 vez al año)</w:t>
      </w:r>
      <w:r>
        <w:rPr>
          <w:rFonts w:ascii="Arial" w:hAnsi="Arial" w:eastAsia="Arial Unicode MS" w:cs="Arial"/>
        </w:rPr>
        <w:t>,</w:t>
      </w:r>
      <w:r>
        <w:rPr>
          <w:rFonts w:ascii="Arial" w:hAnsi="Arial" w:cs="Arial"/>
        </w:rPr>
        <w:t xml:space="preserve"> El control para la  maternidad, aborto espontáneo, embarazo ectópico, parto vaginal, instrumental o cesárea, así como los Ecogramas especiales tales como, perfil hemodinámico, Morfogeneticos y perfil biofísico solo aplica para los embarazos concebidos después de  seis (6) meses ininterrumpido de haber adquirido el Plan. En caso de que el embarazo ocurra antes de los seis (6) meses  de contrato DIAMANTE, Plan Medico Salud Zulia C.A., se reserva el derecho de suspender los siguientes servicios mientras dure el embarazo: Laboratorio, Ecograma (pélvicos, obstétricos, Transvaginal, Morfogeneticos, perfil biofísico, perfil hemodinámico), consultas primarias de ginecología y servicio de emergencias obstétricas.   </w:t>
      </w:r>
    </w:p>
    <w:p w14:paraId="37D9743D">
      <w:pPr>
        <w:spacing w:line="276" w:lineRule="auto"/>
        <w:jc w:val="both"/>
        <w:rPr>
          <w:rFonts w:ascii="Arial" w:hAnsi="Arial" w:cs="Arial"/>
        </w:rPr>
      </w:pPr>
      <w:r>
        <w:rPr>
          <w:rFonts w:ascii="Arial" w:hAnsi="Arial" w:cs="Arial"/>
          <w:b/>
        </w:rPr>
        <w:t>18.</w:t>
      </w:r>
      <w:r>
        <w:rPr>
          <w:rFonts w:ascii="Arial" w:hAnsi="Arial" w:cs="Arial"/>
        </w:rPr>
        <w:t xml:space="preserve"> </w:t>
      </w:r>
      <w:r>
        <w:rPr>
          <w:rFonts w:ascii="Arial" w:hAnsi="Arial" w:cs="Arial"/>
          <w:b/>
        </w:rPr>
        <w:t>EXCLUSIONES:</w:t>
      </w:r>
      <w:r>
        <w:rPr>
          <w:rFonts w:ascii="Arial" w:hAnsi="Arial" w:cs="Arial"/>
        </w:rPr>
        <w:t xml:space="preserve"> Se encuentran excluidas del servicio  médico contratado: La prestación de servicios intra hospitalarios de procedimientos para diagnóstico y consultas especializadas, en aquellas enfermedades o padecimientos que se originen o se relacionen directa o indirectamente, próxima o remotamente con lo siguiente: </w:t>
      </w:r>
      <w:r>
        <w:rPr>
          <w:rFonts w:ascii="Arial" w:hAnsi="Arial" w:cs="Arial"/>
          <w:b/>
        </w:rPr>
        <w:t xml:space="preserve">1° </w:t>
      </w:r>
      <w:r>
        <w:rPr>
          <w:rFonts w:ascii="Arial" w:hAnsi="Arial" w:cs="Arial"/>
        </w:rPr>
        <w:t xml:space="preserve">Embarazos concebidos durante el primer año de contrato. </w:t>
      </w:r>
      <w:r>
        <w:rPr>
          <w:rFonts w:ascii="Arial" w:hAnsi="Arial" w:cs="Arial"/>
          <w:b/>
        </w:rPr>
        <w:t xml:space="preserve">2º </w:t>
      </w:r>
      <w:r>
        <w:rPr>
          <w:rFonts w:ascii="Arial" w:hAnsi="Arial" w:cs="Arial"/>
        </w:rPr>
        <w:t xml:space="preserve">Defectos físicos preexistentes, originados u ocurridos antes de la fecha de vigencia de éste contrato. </w:t>
      </w:r>
      <w:r>
        <w:rPr>
          <w:rFonts w:ascii="Arial" w:hAnsi="Arial" w:cs="Arial"/>
          <w:b/>
        </w:rPr>
        <w:t>3°</w:t>
      </w:r>
      <w:r>
        <w:rPr>
          <w:rFonts w:ascii="Arial" w:hAnsi="Arial" w:cs="Arial"/>
        </w:rPr>
        <w:t xml:space="preserve"> Enfermedades congénitas y/o genéticas. </w:t>
      </w:r>
      <w:r>
        <w:rPr>
          <w:rFonts w:ascii="Arial" w:hAnsi="Arial" w:cs="Arial"/>
          <w:b/>
        </w:rPr>
        <w:t>4°</w:t>
      </w:r>
      <w:r>
        <w:rPr>
          <w:rFonts w:ascii="Arial" w:hAnsi="Arial" w:cs="Arial"/>
        </w:rPr>
        <w:t xml:space="preserve"> Secuelas de accidentes de enfermedades o de intervenciones quirúrgicas ocurridas o efectuadas antes de la fecha de vigencia de este contrato. </w:t>
      </w:r>
      <w:r>
        <w:rPr>
          <w:rFonts w:ascii="Arial" w:hAnsi="Arial" w:cs="Arial"/>
          <w:b/>
        </w:rPr>
        <w:t>5°</w:t>
      </w:r>
      <w:r>
        <w:rPr>
          <w:rFonts w:ascii="Arial" w:hAnsi="Arial" w:cs="Arial"/>
        </w:rPr>
        <w:t xml:space="preserve"> Rutinas preoperatorias para cirugías a realizarse como particulares o en instituciones distintas a las  aquí establecidas. </w:t>
      </w:r>
      <w:r>
        <w:rPr>
          <w:rFonts w:ascii="Arial" w:hAnsi="Arial" w:cs="Arial"/>
          <w:b/>
        </w:rPr>
        <w:t xml:space="preserve">6º </w:t>
      </w:r>
      <w:r>
        <w:rPr>
          <w:rFonts w:ascii="Arial" w:hAnsi="Arial" w:cs="Arial"/>
        </w:rPr>
        <w:t xml:space="preserve">Consecuencias o complicaciones por atención médica o cirugías   realizadas como particulares o en instituciones distintas a las  aquí establecidas.  </w:t>
      </w:r>
      <w:r>
        <w:rPr>
          <w:rFonts w:ascii="Arial" w:hAnsi="Arial" w:cs="Arial"/>
          <w:b/>
        </w:rPr>
        <w:t xml:space="preserve">7° </w:t>
      </w:r>
      <w:r>
        <w:rPr>
          <w:rFonts w:ascii="Arial" w:hAnsi="Arial" w:cs="Arial"/>
        </w:rPr>
        <w:t xml:space="preserve">Cirugía plástica cosmética o reparadora. </w:t>
      </w:r>
      <w:r>
        <w:rPr>
          <w:rFonts w:ascii="Arial" w:hAnsi="Arial" w:cs="Arial"/>
          <w:b/>
        </w:rPr>
        <w:t>8°</w:t>
      </w:r>
      <w:r>
        <w:rPr>
          <w:rFonts w:ascii="Arial" w:hAnsi="Arial" w:cs="Arial"/>
        </w:rPr>
        <w:t xml:space="preserve"> Cirugía cardiovascular. </w:t>
      </w:r>
      <w:r>
        <w:rPr>
          <w:rFonts w:ascii="Arial" w:hAnsi="Arial" w:cs="Arial"/>
          <w:b/>
        </w:rPr>
        <w:t xml:space="preserve">9° </w:t>
      </w:r>
      <w:r>
        <w:rPr>
          <w:rFonts w:ascii="Arial" w:hAnsi="Arial" w:cs="Arial"/>
        </w:rPr>
        <w:t xml:space="preserve">Cirugías exploratorias. </w:t>
      </w:r>
      <w:r>
        <w:rPr>
          <w:rFonts w:ascii="Arial" w:hAnsi="Arial" w:cs="Arial"/>
          <w:b/>
        </w:rPr>
        <w:t>10º</w:t>
      </w:r>
      <w:r>
        <w:rPr>
          <w:rFonts w:ascii="Arial" w:hAnsi="Arial" w:cs="Arial"/>
        </w:rPr>
        <w:t xml:space="preserve"> Cirugías Oftalmológicas. </w:t>
      </w:r>
      <w:r>
        <w:rPr>
          <w:rFonts w:ascii="Arial" w:hAnsi="Arial" w:cs="Arial"/>
          <w:b/>
        </w:rPr>
        <w:t>11º</w:t>
      </w:r>
      <w:r>
        <w:rPr>
          <w:rFonts w:ascii="Arial" w:hAnsi="Arial" w:cs="Arial"/>
        </w:rPr>
        <w:t xml:space="preserve"> Adquisición o alquiler de prótesis de cualquier tipo, tales como: marcapasos, válvulas cardíacas, muletas, aparatos para mejorar la audición, aparatos para el tratamiento de enfermedades y/o intervenciones quirúrgicas, material de osteosíntesis y cualquier otro aparato o prótesis similar o afín. </w:t>
      </w:r>
      <w:r>
        <w:rPr>
          <w:rFonts w:ascii="Arial" w:hAnsi="Arial" w:cs="Arial"/>
          <w:b/>
        </w:rPr>
        <w:t>12°</w:t>
      </w:r>
      <w:r>
        <w:rPr>
          <w:rFonts w:ascii="Arial" w:hAnsi="Arial" w:cs="Arial"/>
        </w:rPr>
        <w:t xml:space="preserve"> Trasplantes de órganos y cirugías con rayos láser. </w:t>
      </w:r>
      <w:r>
        <w:rPr>
          <w:rFonts w:ascii="Arial" w:hAnsi="Arial" w:cs="Arial"/>
          <w:b/>
        </w:rPr>
        <w:t>13°</w:t>
      </w:r>
      <w:r>
        <w:rPr>
          <w:rFonts w:ascii="Arial" w:hAnsi="Arial" w:cs="Arial"/>
        </w:rPr>
        <w:t xml:space="preserve"> Litotricia. </w:t>
      </w:r>
      <w:r>
        <w:rPr>
          <w:rFonts w:ascii="Arial" w:hAnsi="Arial" w:cs="Arial"/>
          <w:b/>
        </w:rPr>
        <w:t>14°</w:t>
      </w:r>
      <w:r>
        <w:rPr>
          <w:rFonts w:ascii="Arial" w:hAnsi="Arial" w:cs="Arial"/>
        </w:rPr>
        <w:t xml:space="preserve"> Tratamientos de enfermedades y operaciones odontológicas o maxilofaciales con fines cosméticos o estéticos, tratamientos de conducto. </w:t>
      </w:r>
      <w:r>
        <w:rPr>
          <w:rFonts w:ascii="Arial" w:hAnsi="Arial" w:cs="Arial"/>
          <w:b/>
        </w:rPr>
        <w:t>15°</w:t>
      </w:r>
      <w:r>
        <w:rPr>
          <w:rFonts w:ascii="Arial" w:hAnsi="Arial" w:cs="Arial"/>
        </w:rPr>
        <w:t xml:space="preserve"> Enfermedades de transmisión sexual y sus consecuencias. </w:t>
      </w:r>
      <w:r>
        <w:rPr>
          <w:rFonts w:ascii="Arial" w:hAnsi="Arial" w:cs="Arial"/>
          <w:b/>
        </w:rPr>
        <w:t>16°</w:t>
      </w:r>
      <w:r>
        <w:rPr>
          <w:rFonts w:ascii="Arial" w:hAnsi="Arial" w:cs="Arial"/>
        </w:rPr>
        <w:t xml:space="preserve">  Epidemias y Pandemias de cualquier tipo. </w:t>
      </w:r>
      <w:r>
        <w:rPr>
          <w:rFonts w:ascii="Arial" w:hAnsi="Arial" w:cs="Arial"/>
          <w:b/>
        </w:rPr>
        <w:t>17°</w:t>
      </w:r>
      <w:r>
        <w:rPr>
          <w:rFonts w:ascii="Arial" w:hAnsi="Arial" w:cs="Arial"/>
        </w:rPr>
        <w:t xml:space="preserve"> Síndrome de inmunodeficiencia adquirida (SIDA) y sus consecuencias. </w:t>
      </w:r>
      <w:r>
        <w:rPr>
          <w:rFonts w:ascii="Arial" w:hAnsi="Arial" w:cs="Arial"/>
          <w:b/>
        </w:rPr>
        <w:t>18°</w:t>
      </w:r>
      <w:r>
        <w:rPr>
          <w:rFonts w:ascii="Arial" w:hAnsi="Arial" w:cs="Arial"/>
        </w:rPr>
        <w:t xml:space="preserve"> Enfermedades y lesiones causadas por accidentes catastróficos (terremotos, temblor de tierra, inundaciones, maremotos). </w:t>
      </w:r>
      <w:r>
        <w:rPr>
          <w:rFonts w:ascii="Arial" w:hAnsi="Arial" w:cs="Arial"/>
          <w:b/>
        </w:rPr>
        <w:t>19°</w:t>
      </w:r>
      <w:r>
        <w:rPr>
          <w:rFonts w:ascii="Arial" w:hAnsi="Arial" w:cs="Arial"/>
        </w:rPr>
        <w:t xml:space="preserve"> Enfermedades y lesiones  ocurridas por radiaciones nucleares o cualquier tipo de radiación, por exposición directa o indirecta y sus consecuencias. </w:t>
      </w:r>
      <w:r>
        <w:rPr>
          <w:rFonts w:ascii="Arial" w:hAnsi="Arial" w:cs="Arial"/>
          <w:b/>
        </w:rPr>
        <w:t>20°</w:t>
      </w:r>
      <w:r>
        <w:rPr>
          <w:rFonts w:ascii="Arial" w:hAnsi="Arial" w:cs="Arial"/>
        </w:rPr>
        <w:t xml:space="preserve"> Tentativa de suicidio y deficiencias mentales, curas de reposo y todo tipo de consultas y tratamientos psicológicos y/o psiquiátricos, trastornos funcionales de la conducta, neurosis, psicosis, esquizofrenia,  </w:t>
      </w:r>
      <w:r>
        <w:rPr>
          <w:rFonts w:ascii="Arial" w:hAnsi="Arial" w:cs="Arial"/>
          <w:b/>
        </w:rPr>
        <w:t>21°</w:t>
      </w:r>
      <w:r>
        <w:rPr>
          <w:rFonts w:ascii="Arial" w:hAnsi="Arial" w:cs="Arial"/>
        </w:rPr>
        <w:t xml:space="preserve"> Tratamiento contra la dependencia del alcohol, de drogas estupefacientes y psicotrópicas y sus complicaciones, agudas o crónicas, así como los accidentes ocurridos bajo la influencia del alcohol o de drogas no prescritas medicamente. </w:t>
      </w:r>
      <w:r>
        <w:rPr>
          <w:rFonts w:ascii="Arial" w:hAnsi="Arial" w:cs="Arial"/>
          <w:b/>
        </w:rPr>
        <w:t>22°</w:t>
      </w:r>
      <w:r>
        <w:rPr>
          <w:rFonts w:ascii="Arial" w:hAnsi="Arial" w:cs="Arial"/>
        </w:rPr>
        <w:t xml:space="preserve"> Tratamientos de infertilidad, impotencia y frigidez. </w:t>
      </w:r>
      <w:r>
        <w:rPr>
          <w:rFonts w:ascii="Arial" w:hAnsi="Arial" w:cs="Arial"/>
          <w:b/>
        </w:rPr>
        <w:t>23°</w:t>
      </w:r>
      <w:r>
        <w:rPr>
          <w:rFonts w:ascii="Arial" w:hAnsi="Arial" w:cs="Arial"/>
        </w:rPr>
        <w:t xml:space="preserve"> Tratamientos de radioterapia, cobaltoterapia, quimioterapia o cualquier otra aplicación de elementos radiactivos o radiaciones con fines terapéuticos. </w:t>
      </w:r>
      <w:r>
        <w:rPr>
          <w:rFonts w:ascii="Arial" w:hAnsi="Arial" w:cs="Arial"/>
          <w:b/>
        </w:rPr>
        <w:t>24°</w:t>
      </w:r>
      <w:r>
        <w:rPr>
          <w:rFonts w:ascii="Arial" w:hAnsi="Arial" w:cs="Arial"/>
        </w:rPr>
        <w:t xml:space="preserve"> Fisioterapia y rehabilitación. </w:t>
      </w:r>
      <w:r>
        <w:rPr>
          <w:rFonts w:ascii="Arial" w:hAnsi="Arial" w:cs="Arial"/>
          <w:b/>
        </w:rPr>
        <w:t>25°</w:t>
      </w:r>
      <w:r>
        <w:rPr>
          <w:rFonts w:ascii="Arial" w:hAnsi="Arial" w:cs="Arial"/>
        </w:rPr>
        <w:t xml:space="preserve"> Lentes correctivos. </w:t>
      </w:r>
      <w:r>
        <w:rPr>
          <w:rFonts w:ascii="Arial" w:hAnsi="Arial" w:cs="Arial"/>
          <w:b/>
        </w:rPr>
        <w:t>26°</w:t>
      </w:r>
      <w:r>
        <w:rPr>
          <w:rFonts w:ascii="Arial" w:hAnsi="Arial" w:cs="Arial"/>
        </w:rPr>
        <w:t xml:space="preserve"> Tratamientos quirúrgicos para la obesidad. </w:t>
      </w:r>
      <w:r>
        <w:rPr>
          <w:rFonts w:ascii="Arial" w:hAnsi="Arial" w:cs="Arial"/>
          <w:b/>
        </w:rPr>
        <w:t>27°</w:t>
      </w:r>
      <w:r>
        <w:rPr>
          <w:rFonts w:ascii="Arial" w:hAnsi="Arial" w:cs="Arial"/>
        </w:rPr>
        <w:t xml:space="preserve"> Enfermedades, padecimientos, lesiones o accidentes derivados de: a) Ingesta de alcohol. b) Participación en hechos delictivos, riñas o alteraciones del orden público. c) Actos de guerra declarada o no. d) Actos en servicio militar o policial. e) Motines, insurrecciones, conmoción civil, revoluciones, tumultos populares, rebeliones. f) Actos contrarios a lo establecido en providencias gubernamentales y leyes del país. g) Tratamientos y enfermedades que requieran diálisis peritoneal o por vía sanguínea en forma sucesiva y permanente. </w:t>
      </w:r>
      <w:r>
        <w:rPr>
          <w:rFonts w:ascii="Arial" w:hAnsi="Arial" w:cs="Arial"/>
          <w:b/>
        </w:rPr>
        <w:t>28°</w:t>
      </w:r>
      <w:r>
        <w:rPr>
          <w:rFonts w:ascii="Arial" w:hAnsi="Arial" w:cs="Arial"/>
        </w:rPr>
        <w:t xml:space="preserve"> Procedimientos o exámenes de diagnóstico requeridos rutinariamente a los titulares de un colectivo por normas de seguridad industrial. </w:t>
      </w:r>
      <w:r>
        <w:rPr>
          <w:rFonts w:ascii="Arial" w:hAnsi="Arial" w:cs="Arial"/>
          <w:b/>
        </w:rPr>
        <w:t>29°</w:t>
      </w:r>
      <w:r>
        <w:rPr>
          <w:rFonts w:ascii="Arial" w:hAnsi="Arial" w:cs="Arial"/>
        </w:rPr>
        <w:t xml:space="preserve"> Toma de muestra para Biopsias.</w:t>
      </w:r>
      <w:r>
        <w:rPr>
          <w:rFonts w:ascii="Arial" w:hAnsi="Arial" w:cs="Arial"/>
          <w:b/>
        </w:rPr>
        <w:t xml:space="preserve"> 30° </w:t>
      </w:r>
      <w:r>
        <w:rPr>
          <w:rFonts w:ascii="Arial" w:hAnsi="Arial" w:cs="Arial"/>
        </w:rPr>
        <w:t xml:space="preserve">Uso de Laparoscopio. </w:t>
      </w:r>
      <w:r>
        <w:rPr>
          <w:rFonts w:ascii="Arial" w:hAnsi="Arial" w:cs="Arial"/>
          <w:b/>
        </w:rPr>
        <w:t xml:space="preserve">31° </w:t>
      </w:r>
      <w:r>
        <w:rPr>
          <w:rFonts w:ascii="Arial" w:hAnsi="Arial" w:cs="Arial"/>
        </w:rPr>
        <w:t xml:space="preserve">Uso de Artroscopio. </w:t>
      </w:r>
      <w:r>
        <w:rPr>
          <w:rFonts w:ascii="Arial" w:hAnsi="Arial" w:cs="Arial"/>
          <w:b/>
        </w:rPr>
        <w:t xml:space="preserve">32° </w:t>
      </w:r>
      <w:r>
        <w:rPr>
          <w:rFonts w:ascii="Arial" w:hAnsi="Arial" w:cs="Arial"/>
        </w:rPr>
        <w:t xml:space="preserve">Uso Intensificador de imágenes. </w:t>
      </w:r>
      <w:r>
        <w:rPr>
          <w:rFonts w:ascii="Arial" w:hAnsi="Arial" w:cs="Arial"/>
          <w:b/>
        </w:rPr>
        <w:t xml:space="preserve">33º </w:t>
      </w:r>
      <w:r>
        <w:rPr>
          <w:rFonts w:ascii="Arial" w:hAnsi="Arial" w:cs="Arial"/>
        </w:rPr>
        <w:t xml:space="preserve">Cirugías de emergencias sin plazos de espera por complicación de enfermedades Preexistentes. </w:t>
      </w:r>
      <w:r>
        <w:rPr>
          <w:rFonts w:ascii="Arial" w:hAnsi="Arial" w:cs="Arial"/>
          <w:b/>
        </w:rPr>
        <w:t>35º</w:t>
      </w:r>
      <w:r>
        <w:rPr>
          <w:rFonts w:ascii="Arial" w:hAnsi="Arial" w:cs="Arial"/>
        </w:rPr>
        <w:t xml:space="preserve"> Servicio de Banco de Sangre. </w:t>
      </w:r>
      <w:r>
        <w:rPr>
          <w:rFonts w:ascii="Arial" w:hAnsi="Arial" w:cs="Arial"/>
          <w:b/>
        </w:rPr>
        <w:t>36º</w:t>
      </w:r>
      <w:r>
        <w:rPr>
          <w:rFonts w:ascii="Arial" w:hAnsi="Arial" w:cs="Arial"/>
        </w:rPr>
        <w:t xml:space="preserve"> Servicio de Vacunación.</w:t>
      </w:r>
      <w:r>
        <w:rPr>
          <w:rFonts w:hint="default" w:ascii="Arial" w:hAnsi="Arial"/>
        </w:rPr>
        <w:t xml:space="preserve">37º Cirugías de fracturas articulares. </w:t>
      </w:r>
    </w:p>
    <w:p w14:paraId="02482A8F">
      <w:pPr>
        <w:spacing w:line="276" w:lineRule="auto"/>
        <w:jc w:val="both"/>
        <w:rPr>
          <w:rFonts w:ascii="Arial" w:hAnsi="Arial" w:cs="Arial"/>
        </w:rPr>
      </w:pPr>
      <w:r>
        <w:rPr>
          <w:rFonts w:ascii="Arial" w:hAnsi="Arial" w:cs="Arial"/>
          <w:b/>
        </w:rPr>
        <w:t>19.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persona durante el año de vigencia de los contratos suscritos entre Plan Médico Salud Zulia, C.A.,  los contratantes afiliados y su grupo familiar.  Agotada dicha cantidad, los gastos que genere el contratante afiliado y su grupo familiar en el centro de atención hospitalaria, correrán por cuenta de éstos, sin que exista responsabilidad alguna por parte de Plan Médico Salud Zulia, C.A.,  o del centro de atención hospitalaria con respecto a dicho excedente.  Queda entendido que el monto al cual hace referencia ésta cláusula, es en relación única y exclusivamente al régimen intrahospitalario, de cirugía ambulatoria, emergencias, exámenes de laboratorio y de diagnóstico.</w:t>
      </w:r>
    </w:p>
    <w:p w14:paraId="3C23A8AC">
      <w:pPr>
        <w:jc w:val="both"/>
        <w:rPr>
          <w:rFonts w:ascii="Arial" w:hAnsi="Arial" w:cs="Arial"/>
        </w:rPr>
      </w:pPr>
      <w:r>
        <w:rPr>
          <w:rFonts w:ascii="Arial" w:hAnsi="Arial" w:cs="Arial"/>
          <w:b/>
        </w:rPr>
        <w:t>20.</w:t>
      </w:r>
      <w:r>
        <w:rPr>
          <w:rFonts w:ascii="Arial" w:hAnsi="Arial" w:cs="Arial"/>
        </w:rPr>
        <w:t xml:space="preserve"> PLAN MÉDICO SALUD ZULIA, asume su responsabilidad frente a EL CONTRATANTE en los términos y condiciones expresamente estipulados en el respectivo Contrato y sus Anexos autorizados y emitidos. En consecuencia, cualquier concepto, término y condición que pueda surgir en la ejecución del Contrato, no autorizado por PLAN MÉDICO SALUD ZULIA en el condicionado plasmado en sus instrumentos documentales expresamente autorizados y aceptados por las partes, aun cuando emanen de cualquier otro sujeto interviniente en la actividad que integra la relación contractual como el caso de los Asesores, no obligará a PLAN MÉDICO SALUD ZULIA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5D708D67">
      <w:pPr>
        <w:jc w:val="both"/>
        <w:rPr>
          <w:rFonts w:ascii="Arial" w:hAnsi="Arial" w:cs="Arial"/>
        </w:rPr>
      </w:pPr>
      <w:r>
        <w:rPr>
          <w:rFonts w:ascii="Arial" w:hAnsi="Arial" w:cs="Arial"/>
          <w:b/>
        </w:rPr>
        <w:t>21.</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Plan Medico Salud Zulia, C.A, notificara cualquier modificación o anulación del presente contrato.</w:t>
      </w:r>
    </w:p>
    <w:p w14:paraId="2FB1FD9E">
      <w:pPr>
        <w:jc w:val="both"/>
        <w:rPr>
          <w:rFonts w:ascii="Arial" w:hAnsi="Arial" w:cs="Arial"/>
        </w:rPr>
      </w:pPr>
      <w:r>
        <w:rPr>
          <w:rFonts w:ascii="Arial" w:hAnsi="Arial" w:cs="Arial"/>
          <w:b/>
        </w:rPr>
        <w:t>22.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3B508517">
      <w:pPr>
        <w:jc w:val="both"/>
        <w:rPr>
          <w:rFonts w:ascii="Arial" w:hAnsi="Arial" w:cs="Arial"/>
        </w:rPr>
      </w:pPr>
      <w:r>
        <w:rPr>
          <w:rFonts w:ascii="Arial" w:hAnsi="Arial" w:cs="Arial"/>
          <w:b/>
        </w:rPr>
        <w:t>23.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2EF3DA8E">
      <w:pPr>
        <w:jc w:val="both"/>
        <w:rPr>
          <w:rFonts w:ascii="Arial" w:hAnsi="Arial" w:cs="Arial"/>
        </w:rPr>
      </w:pPr>
      <w:r>
        <w:rPr>
          <w:rFonts w:ascii="Arial" w:hAnsi="Arial" w:cs="Arial"/>
          <w:b/>
        </w:rPr>
        <w:t>24.</w:t>
      </w:r>
      <w:r>
        <w:rPr>
          <w:rFonts w:ascii="Arial" w:hAnsi="Arial" w:cs="Arial"/>
        </w:rPr>
        <w:t xml:space="preserve"> PLAN MÉDICO SALUD ZULIA sólo será responsable del cumplimiento de sus obligaciones contractuales ante EL CONTRATANTE, siempre y cuando el pago del monto de la Prima del Contrato, en caso que se realice en efectivo, sea recibido en la Caja de la empresa prestadora del Servicio y  si es por transferencia u otro medio de pago se haga efectivo en las cuentas bancarias de la empresa prestadora del Servicio expresamente descritas en las Planillas de Solicitud emitidas por PLAN MÉDICO SALUD ZULIA, y estas sean presentadas por el asesor a departamento de ventas para su respectiva contratación y posterior activación a partir de la fecha en que sea recibida, con un máximo de 7 días hábiles, salvo por causa extraña no imputable a Plan Medico Salud Zulia, Plan Medico Salud Zulia no será responsable ni solidaria ni subsidiariamente por pagos que haya efectuado EL CONTRATANTE a otra persona natural o jurídica distinta ni en cuentas bancarias que no hayan sido a las convenidas expresa y exclusivamente, aun cuando se trate de otros sujetos intervinientes en la actividad que integra la relación contractual como Asesores.</w:t>
      </w:r>
    </w:p>
    <w:p w14:paraId="3F2F0BA5">
      <w:pPr>
        <w:jc w:val="both"/>
        <w:rPr>
          <w:rFonts w:ascii="Arial" w:hAnsi="Arial" w:cs="Arial"/>
        </w:rPr>
      </w:pPr>
      <w:r>
        <w:rPr>
          <w:rFonts w:ascii="Arial" w:hAnsi="Arial" w:cs="Arial"/>
          <w:b/>
        </w:rPr>
        <w:t>25.</w:t>
      </w:r>
      <w:r>
        <w:rPr>
          <w:rFonts w:ascii="Arial" w:hAnsi="Arial" w:cs="Arial"/>
        </w:rPr>
        <w:t xml:space="preserve"> PLAN MÉDICO SALUD ZULIA responderá exclusivamente por las obligaciones que asume directamente frente a EL CONTRATANTE en los términos y condiciones convenidos en el Contrato. Esta responsabilidad surgirá siempre y cuando las actuaciones, omisiones, recomendaciones, instrucciones y sugerencias emanadas de PLAN MÉDICO SALUD ZULIA las ejecuten sólo sus empleados y/o representantes legales; en consecuencia, cualquier reclamación que pueda surgir contra PLAN MÉDICO SALUD ZULIA, causada por la actuación, omisión, recomendación, instrucción y sugerencia de cualquier persona natural o jurídica, distinta, incluyendo  Asesores, no será responsabilidad de PLAN MÉDICO SALUD ZULIA.</w:t>
      </w:r>
    </w:p>
    <w:p w14:paraId="28CE99C9">
      <w:pPr>
        <w:spacing w:after="200" w:line="276" w:lineRule="auto"/>
        <w:contextualSpacing/>
        <w:jc w:val="both"/>
        <w:rPr>
          <w:rFonts w:ascii="Arial" w:hAnsi="Arial" w:eastAsia="Calibri" w:cs="Arial"/>
          <w:lang w:eastAsia="en-US"/>
        </w:rPr>
      </w:pPr>
      <w:r>
        <w:rPr>
          <w:rFonts w:ascii="Arial" w:hAnsi="Arial" w:eastAsia="Calibri" w:cs="Arial"/>
          <w:b/>
          <w:lang w:eastAsia="en-US"/>
        </w:rPr>
        <w:t>26. LÍMITE DE COBERTURA:</w:t>
      </w:r>
      <w:r>
        <w:rPr>
          <w:rFonts w:ascii="Arial" w:hAnsi="Arial" w:eastAsia="Calibri" w:cs="Arial"/>
          <w:lang w:eastAsia="en-US"/>
        </w:rPr>
        <w:t xml:space="preserve"> 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PLAN DIAMANTE NEW, la suma de CINCUENTA MIL DÓLARES DE LOS ESTADOS UNIDOS DE AMERICA (US$ 50.000,00) o su equivalente en moneda nacional, caso éste en el cual será referido al factor cambiario que publique el Banco Central de Venezuela en la oportunidad cuando corresponda darse cumplimiento de los servicios. Queda entendido que en ambos casos, el limite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p>
    <w:p w14:paraId="3657A69D">
      <w:pPr>
        <w:spacing w:line="276" w:lineRule="auto"/>
        <w:jc w:val="both"/>
        <w:rPr>
          <w:rFonts w:ascii="Arial" w:hAnsi="Arial" w:cs="Arial"/>
          <w:b/>
          <w:bCs/>
        </w:rPr>
      </w:pPr>
      <w:r>
        <w:rPr>
          <w:rFonts w:ascii="Arial" w:hAnsi="Arial" w:cs="Arial"/>
          <w:b/>
        </w:rPr>
        <w:t>27. MODIFICACION DE LAS CONDICIONES:</w:t>
      </w:r>
      <w:r>
        <w:rPr>
          <w:rFonts w:ascii="Arial" w:hAnsi="Arial" w:cs="Arial"/>
        </w:rPr>
        <w:t xml:space="preserve"> Plan Medico Salud Zulia C.A.,    tendrá el derecho absoluto de modificar el contenido de estas condiciones generales cuando así lo  considere conveniente para la  mejor prestación del servicio y notificara a los contratantes dichas modificaciones en los términos y medios  establecidos. </w:t>
      </w:r>
    </w:p>
    <w:p w14:paraId="142A5641">
      <w:pPr>
        <w:spacing w:line="276" w:lineRule="auto"/>
        <w:rPr>
          <w:rFonts w:ascii="Arial" w:hAnsi="Arial" w:cs="Arial"/>
          <w:b/>
          <w:bCs/>
        </w:rPr>
      </w:pPr>
      <w:r>
        <w:rPr>
          <w:rFonts w:ascii="Arial" w:hAnsi="Arial" w:cs="Arial"/>
          <w:b/>
          <w:bCs/>
        </w:rPr>
        <w:t>---------------------------------------------------------------------------------------------------------------</w:t>
      </w:r>
    </w:p>
    <w:p w14:paraId="60CC93DE">
      <w:pPr>
        <w:rPr>
          <w:rFonts w:ascii="Arial" w:hAnsi="Arial" w:cs="Arial"/>
        </w:rPr>
      </w:pPr>
    </w:p>
    <w:sectPr>
      <w:headerReference r:id="rId3" w:type="default"/>
      <w:footerReference r:id="rId4" w:type="default"/>
      <w:pgSz w:w="12240" w:h="15840"/>
      <w:pgMar w:top="426" w:right="1622"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51B8A">
    <w:pPr>
      <w:pStyle w:val="12"/>
      <w:jc w:val="center"/>
      <w:rPr>
        <w:rFonts w:ascii="Arial Narrow" w:hAnsi="Arial Narrow"/>
        <w:sz w:val="20"/>
        <w:szCs w:val="20"/>
        <w:lang w:val="es-VE"/>
      </w:rPr>
    </w:pPr>
    <w:r>
      <w:rPr>
        <w:rFonts w:ascii="Arial Narrow" w:hAnsi="Arial Narrow"/>
        <w:sz w:val="20"/>
        <w:szCs w:val="20"/>
        <w:lang w:val="es-VE"/>
      </w:rPr>
      <w:t xml:space="preserve">CONDICIONES GENERALES </w:t>
    </w:r>
  </w:p>
  <w:p w14:paraId="792BE6AD">
    <w:pPr>
      <w:pStyle w:val="12"/>
      <w:jc w:val="center"/>
      <w:rPr>
        <w:rFonts w:ascii="Arial Narrow" w:hAnsi="Arial Narrow"/>
        <w:sz w:val="20"/>
        <w:szCs w:val="20"/>
        <w:lang w:val="es-VE"/>
      </w:rPr>
    </w:pPr>
    <w:r>
      <w:rPr>
        <w:rFonts w:ascii="Arial Narrow" w:hAnsi="Arial Narrow"/>
        <w:sz w:val="20"/>
        <w:szCs w:val="20"/>
        <w:lang w:val="es-VE"/>
      </w:rPr>
      <w:t>PLAN DIAMANTE NEW</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BED1F">
    <w:pPr>
      <w:pStyle w:val="10"/>
      <w:jc w:val="right"/>
    </w:pPr>
    <w:r>
      <w:fldChar w:fldCharType="begin"/>
    </w:r>
    <w:r>
      <w:instrText xml:space="preserve">PAGE   \* MERGEFORMAT</w:instrText>
    </w:r>
    <w:r>
      <w:fldChar w:fldCharType="separate"/>
    </w:r>
    <w:r>
      <w:t>12</w:t>
    </w:r>
    <w:r>
      <w:fldChar w:fldCharType="end"/>
    </w:r>
  </w:p>
  <w:p w14:paraId="39B5E26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nforcement="0"/>
  <w:defaultTabStop w:val="708"/>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A2"/>
    <w:rsid w:val="0000089D"/>
    <w:rsid w:val="000154F7"/>
    <w:rsid w:val="00024E4B"/>
    <w:rsid w:val="0003499B"/>
    <w:rsid w:val="00042C3D"/>
    <w:rsid w:val="00052CC1"/>
    <w:rsid w:val="00056B73"/>
    <w:rsid w:val="00060EDA"/>
    <w:rsid w:val="00090406"/>
    <w:rsid w:val="000A3E25"/>
    <w:rsid w:val="000E17D2"/>
    <w:rsid w:val="001029FB"/>
    <w:rsid w:val="001115BB"/>
    <w:rsid w:val="00134656"/>
    <w:rsid w:val="0014213A"/>
    <w:rsid w:val="00146E17"/>
    <w:rsid w:val="00150D7D"/>
    <w:rsid w:val="00151661"/>
    <w:rsid w:val="0015271C"/>
    <w:rsid w:val="00160D2A"/>
    <w:rsid w:val="00173694"/>
    <w:rsid w:val="00187ACE"/>
    <w:rsid w:val="00187DD5"/>
    <w:rsid w:val="00193A2A"/>
    <w:rsid w:val="001A33A6"/>
    <w:rsid w:val="001A5372"/>
    <w:rsid w:val="001D1021"/>
    <w:rsid w:val="001D3B91"/>
    <w:rsid w:val="001E769F"/>
    <w:rsid w:val="001F221E"/>
    <w:rsid w:val="001F4FAA"/>
    <w:rsid w:val="00210C54"/>
    <w:rsid w:val="00211EDE"/>
    <w:rsid w:val="00225773"/>
    <w:rsid w:val="00227CEE"/>
    <w:rsid w:val="00242294"/>
    <w:rsid w:val="00244918"/>
    <w:rsid w:val="00250F31"/>
    <w:rsid w:val="002549A1"/>
    <w:rsid w:val="002559F8"/>
    <w:rsid w:val="00263276"/>
    <w:rsid w:val="002658C5"/>
    <w:rsid w:val="00270954"/>
    <w:rsid w:val="0028704F"/>
    <w:rsid w:val="002A413C"/>
    <w:rsid w:val="002E156A"/>
    <w:rsid w:val="002E39C7"/>
    <w:rsid w:val="002F50AA"/>
    <w:rsid w:val="002F6C00"/>
    <w:rsid w:val="00305324"/>
    <w:rsid w:val="00306652"/>
    <w:rsid w:val="00351D4F"/>
    <w:rsid w:val="00383BC1"/>
    <w:rsid w:val="00391C2D"/>
    <w:rsid w:val="00391E9F"/>
    <w:rsid w:val="00394A81"/>
    <w:rsid w:val="003C0BF3"/>
    <w:rsid w:val="003C2CA7"/>
    <w:rsid w:val="003D1CA3"/>
    <w:rsid w:val="003D7827"/>
    <w:rsid w:val="003E574D"/>
    <w:rsid w:val="003F21CB"/>
    <w:rsid w:val="003F591C"/>
    <w:rsid w:val="00404925"/>
    <w:rsid w:val="00406DC7"/>
    <w:rsid w:val="00407951"/>
    <w:rsid w:val="00423202"/>
    <w:rsid w:val="00435EB5"/>
    <w:rsid w:val="00436C67"/>
    <w:rsid w:val="00445A55"/>
    <w:rsid w:val="00452BB4"/>
    <w:rsid w:val="0046121E"/>
    <w:rsid w:val="00470E3A"/>
    <w:rsid w:val="00492933"/>
    <w:rsid w:val="00493739"/>
    <w:rsid w:val="004A0B77"/>
    <w:rsid w:val="004C52D8"/>
    <w:rsid w:val="004D334F"/>
    <w:rsid w:val="004D3FAC"/>
    <w:rsid w:val="004E13C0"/>
    <w:rsid w:val="005124CB"/>
    <w:rsid w:val="005142AB"/>
    <w:rsid w:val="00515522"/>
    <w:rsid w:val="005203EE"/>
    <w:rsid w:val="0054097D"/>
    <w:rsid w:val="00541CED"/>
    <w:rsid w:val="005457ED"/>
    <w:rsid w:val="0055054B"/>
    <w:rsid w:val="005644F7"/>
    <w:rsid w:val="00584C43"/>
    <w:rsid w:val="00586477"/>
    <w:rsid w:val="005B33CA"/>
    <w:rsid w:val="005B6654"/>
    <w:rsid w:val="005C4307"/>
    <w:rsid w:val="005D6CDF"/>
    <w:rsid w:val="005E1ACD"/>
    <w:rsid w:val="005E49E0"/>
    <w:rsid w:val="005F0472"/>
    <w:rsid w:val="005F2410"/>
    <w:rsid w:val="006253D3"/>
    <w:rsid w:val="00626B31"/>
    <w:rsid w:val="006314C6"/>
    <w:rsid w:val="00632193"/>
    <w:rsid w:val="00634523"/>
    <w:rsid w:val="006351A2"/>
    <w:rsid w:val="0064012E"/>
    <w:rsid w:val="006442DF"/>
    <w:rsid w:val="00662D90"/>
    <w:rsid w:val="00671B33"/>
    <w:rsid w:val="00674612"/>
    <w:rsid w:val="00677180"/>
    <w:rsid w:val="0068176A"/>
    <w:rsid w:val="006829D0"/>
    <w:rsid w:val="00682C07"/>
    <w:rsid w:val="00693352"/>
    <w:rsid w:val="006C1ACE"/>
    <w:rsid w:val="006C3C80"/>
    <w:rsid w:val="006D5EBD"/>
    <w:rsid w:val="006E3A8A"/>
    <w:rsid w:val="00701A23"/>
    <w:rsid w:val="007036A7"/>
    <w:rsid w:val="007062EE"/>
    <w:rsid w:val="00711C9E"/>
    <w:rsid w:val="00715FB2"/>
    <w:rsid w:val="00722FBC"/>
    <w:rsid w:val="0072345D"/>
    <w:rsid w:val="00723B8D"/>
    <w:rsid w:val="007240BB"/>
    <w:rsid w:val="00725543"/>
    <w:rsid w:val="00725A85"/>
    <w:rsid w:val="00725DAE"/>
    <w:rsid w:val="00735496"/>
    <w:rsid w:val="00736B38"/>
    <w:rsid w:val="007373AF"/>
    <w:rsid w:val="00744209"/>
    <w:rsid w:val="00774258"/>
    <w:rsid w:val="00774850"/>
    <w:rsid w:val="00776027"/>
    <w:rsid w:val="007778FB"/>
    <w:rsid w:val="00785F4A"/>
    <w:rsid w:val="007949D5"/>
    <w:rsid w:val="007B3CFB"/>
    <w:rsid w:val="007C60EE"/>
    <w:rsid w:val="007E3F51"/>
    <w:rsid w:val="007F1674"/>
    <w:rsid w:val="007F64D0"/>
    <w:rsid w:val="00812013"/>
    <w:rsid w:val="0082380B"/>
    <w:rsid w:val="008253BA"/>
    <w:rsid w:val="008314B3"/>
    <w:rsid w:val="00832CA0"/>
    <w:rsid w:val="00832DCF"/>
    <w:rsid w:val="00842C73"/>
    <w:rsid w:val="00853EE2"/>
    <w:rsid w:val="00862C6A"/>
    <w:rsid w:val="00874353"/>
    <w:rsid w:val="0089499D"/>
    <w:rsid w:val="00897A8D"/>
    <w:rsid w:val="008A77C1"/>
    <w:rsid w:val="008C2A78"/>
    <w:rsid w:val="008C31E9"/>
    <w:rsid w:val="008D346A"/>
    <w:rsid w:val="008E62B9"/>
    <w:rsid w:val="009041C7"/>
    <w:rsid w:val="00905278"/>
    <w:rsid w:val="00915CF3"/>
    <w:rsid w:val="00933DA6"/>
    <w:rsid w:val="009500D1"/>
    <w:rsid w:val="00950E25"/>
    <w:rsid w:val="00951A11"/>
    <w:rsid w:val="00954EC9"/>
    <w:rsid w:val="00962C9B"/>
    <w:rsid w:val="00974D07"/>
    <w:rsid w:val="0099189F"/>
    <w:rsid w:val="00996B7D"/>
    <w:rsid w:val="009B0B6B"/>
    <w:rsid w:val="009B625C"/>
    <w:rsid w:val="009C6D64"/>
    <w:rsid w:val="009D775B"/>
    <w:rsid w:val="009E6FE4"/>
    <w:rsid w:val="00A03C9E"/>
    <w:rsid w:val="00A0422A"/>
    <w:rsid w:val="00A07F9A"/>
    <w:rsid w:val="00A16D1B"/>
    <w:rsid w:val="00A24626"/>
    <w:rsid w:val="00A53385"/>
    <w:rsid w:val="00A70917"/>
    <w:rsid w:val="00A7218F"/>
    <w:rsid w:val="00A76419"/>
    <w:rsid w:val="00AA639D"/>
    <w:rsid w:val="00AD6BEA"/>
    <w:rsid w:val="00AD72C4"/>
    <w:rsid w:val="00AE00AF"/>
    <w:rsid w:val="00AF0A6C"/>
    <w:rsid w:val="00AF31BD"/>
    <w:rsid w:val="00AF6126"/>
    <w:rsid w:val="00B07692"/>
    <w:rsid w:val="00B23BBE"/>
    <w:rsid w:val="00B2771B"/>
    <w:rsid w:val="00B31F3B"/>
    <w:rsid w:val="00B475A3"/>
    <w:rsid w:val="00B54C9D"/>
    <w:rsid w:val="00B56285"/>
    <w:rsid w:val="00B66EF1"/>
    <w:rsid w:val="00B73915"/>
    <w:rsid w:val="00B76670"/>
    <w:rsid w:val="00B7719A"/>
    <w:rsid w:val="00B77631"/>
    <w:rsid w:val="00B82C37"/>
    <w:rsid w:val="00B82F83"/>
    <w:rsid w:val="00B9010C"/>
    <w:rsid w:val="00BA0936"/>
    <w:rsid w:val="00BA5D55"/>
    <w:rsid w:val="00BB38AD"/>
    <w:rsid w:val="00BD125D"/>
    <w:rsid w:val="00BE3A85"/>
    <w:rsid w:val="00BE6A0B"/>
    <w:rsid w:val="00C0088A"/>
    <w:rsid w:val="00C00F76"/>
    <w:rsid w:val="00C01FC6"/>
    <w:rsid w:val="00C10285"/>
    <w:rsid w:val="00C31A69"/>
    <w:rsid w:val="00C32F77"/>
    <w:rsid w:val="00C639D1"/>
    <w:rsid w:val="00C72EB3"/>
    <w:rsid w:val="00C86ECB"/>
    <w:rsid w:val="00C87D81"/>
    <w:rsid w:val="00C901E5"/>
    <w:rsid w:val="00C94027"/>
    <w:rsid w:val="00CA5A67"/>
    <w:rsid w:val="00CB1EFA"/>
    <w:rsid w:val="00CD0C50"/>
    <w:rsid w:val="00CE0EB5"/>
    <w:rsid w:val="00CF5F31"/>
    <w:rsid w:val="00D01E60"/>
    <w:rsid w:val="00D06AAB"/>
    <w:rsid w:val="00D072FE"/>
    <w:rsid w:val="00D16801"/>
    <w:rsid w:val="00D17F4A"/>
    <w:rsid w:val="00D20BB3"/>
    <w:rsid w:val="00D3006D"/>
    <w:rsid w:val="00D3499F"/>
    <w:rsid w:val="00D624C4"/>
    <w:rsid w:val="00D65142"/>
    <w:rsid w:val="00D676FC"/>
    <w:rsid w:val="00D82F8C"/>
    <w:rsid w:val="00D9652F"/>
    <w:rsid w:val="00DC2C78"/>
    <w:rsid w:val="00DD655E"/>
    <w:rsid w:val="00DE4E05"/>
    <w:rsid w:val="00DF73B9"/>
    <w:rsid w:val="00E179D3"/>
    <w:rsid w:val="00E676F7"/>
    <w:rsid w:val="00E935E2"/>
    <w:rsid w:val="00E958B8"/>
    <w:rsid w:val="00EA62D3"/>
    <w:rsid w:val="00EC3BB2"/>
    <w:rsid w:val="00ED4D82"/>
    <w:rsid w:val="00EE5C53"/>
    <w:rsid w:val="00EF2CB0"/>
    <w:rsid w:val="00F0296B"/>
    <w:rsid w:val="00F04F9A"/>
    <w:rsid w:val="00F24E7C"/>
    <w:rsid w:val="00F31F35"/>
    <w:rsid w:val="00F35932"/>
    <w:rsid w:val="00F378C6"/>
    <w:rsid w:val="00F41AC3"/>
    <w:rsid w:val="00F41B41"/>
    <w:rsid w:val="00F52AE4"/>
    <w:rsid w:val="00F53129"/>
    <w:rsid w:val="00F56B21"/>
    <w:rsid w:val="00F61513"/>
    <w:rsid w:val="00F61ED7"/>
    <w:rsid w:val="00F62D5F"/>
    <w:rsid w:val="00F74C9E"/>
    <w:rsid w:val="00F9206C"/>
    <w:rsid w:val="00F95064"/>
    <w:rsid w:val="00F95422"/>
    <w:rsid w:val="00FA441D"/>
    <w:rsid w:val="00FA65C5"/>
    <w:rsid w:val="00FC1372"/>
    <w:rsid w:val="00FD0E11"/>
    <w:rsid w:val="00FF6E2F"/>
    <w:rsid w:val="08AD364A"/>
    <w:rsid w:val="1E9E0E0C"/>
    <w:rsid w:val="5FA800C4"/>
  </w:rsids>
  <m:mathPr>
    <m:mathFont m:val="Cambria Math"/>
    <m:brkBin m:val="before"/>
    <m:brkBinSub m:val="--"/>
    <m:smallFrac m:val="1"/>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link w:val="15"/>
    <w:qFormat/>
    <w:uiPriority w:val="0"/>
    <w:pPr>
      <w:keepNext/>
      <w:jc w:val="both"/>
      <w:outlineLvl w:val="0"/>
    </w:pPr>
    <w:rPr>
      <w:b/>
      <w:bCs/>
    </w:rPr>
  </w:style>
  <w:style w:type="paragraph" w:styleId="3">
    <w:name w:val="heading 2"/>
    <w:basedOn w:val="1"/>
    <w:next w:val="1"/>
    <w:qFormat/>
    <w:uiPriority w:val="0"/>
    <w:pPr>
      <w:keepNext/>
      <w:ind w:left="708"/>
      <w:jc w:val="both"/>
      <w:outlineLvl w:val="1"/>
    </w:pPr>
    <w:rPr>
      <w:b/>
      <w:bCs/>
    </w:rPr>
  </w:style>
  <w:style w:type="paragraph" w:styleId="4">
    <w:name w:val="heading 3"/>
    <w:basedOn w:val="1"/>
    <w:next w:val="1"/>
    <w:qFormat/>
    <w:uiPriority w:val="0"/>
    <w:pPr>
      <w:keepNext/>
      <w:jc w:val="center"/>
      <w:outlineLvl w:val="2"/>
    </w:pPr>
    <w:rPr>
      <w:b/>
      <w:bCs/>
      <w:lang w:val="en-US"/>
    </w:rPr>
  </w:style>
  <w:style w:type="paragraph" w:styleId="5">
    <w:name w:val="heading 4"/>
    <w:basedOn w:val="1"/>
    <w:next w:val="1"/>
    <w:qFormat/>
    <w:uiPriority w:val="0"/>
    <w:pPr>
      <w:keepNext/>
      <w:ind w:left="5664"/>
      <w:jc w:val="center"/>
      <w:outlineLvl w:val="3"/>
    </w:pPr>
    <w:rPr>
      <w:b/>
      <w:bCs/>
      <w:color w:val="FF0000"/>
    </w:rPr>
  </w:style>
  <w:style w:type="paragraph" w:styleId="6">
    <w:name w:val="heading 5"/>
    <w:basedOn w:val="1"/>
    <w:next w:val="1"/>
    <w:qFormat/>
    <w:uiPriority w:val="0"/>
    <w:pPr>
      <w:keepNext/>
      <w:jc w:val="both"/>
      <w:outlineLvl w:val="4"/>
    </w:pPr>
    <w:rPr>
      <w:b/>
      <w:bCs/>
      <w:sz w:val="16"/>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16"/>
    <w:uiPriority w:val="0"/>
    <w:rPr>
      <w:rFonts w:ascii="Tahoma" w:hAnsi="Tahoma"/>
      <w:sz w:val="16"/>
      <w:szCs w:val="16"/>
    </w:rPr>
  </w:style>
  <w:style w:type="paragraph" w:styleId="10">
    <w:name w:val="header"/>
    <w:basedOn w:val="1"/>
    <w:link w:val="17"/>
    <w:qFormat/>
    <w:uiPriority w:val="99"/>
    <w:pPr>
      <w:tabs>
        <w:tab w:val="center" w:pos="4419"/>
        <w:tab w:val="right" w:pos="8838"/>
      </w:tabs>
    </w:pPr>
  </w:style>
  <w:style w:type="paragraph" w:styleId="11">
    <w:name w:val="Body Text Indent"/>
    <w:basedOn w:val="1"/>
    <w:uiPriority w:val="0"/>
    <w:pPr>
      <w:ind w:firstLine="708"/>
      <w:jc w:val="both"/>
    </w:pPr>
  </w:style>
  <w:style w:type="paragraph" w:styleId="12">
    <w:name w:val="footer"/>
    <w:basedOn w:val="1"/>
    <w:link w:val="18"/>
    <w:qFormat/>
    <w:uiPriority w:val="0"/>
    <w:pPr>
      <w:tabs>
        <w:tab w:val="center" w:pos="4419"/>
        <w:tab w:val="right" w:pos="8838"/>
      </w:tabs>
    </w:pPr>
  </w:style>
  <w:style w:type="paragraph" w:styleId="13">
    <w:name w:val="Body Text"/>
    <w:basedOn w:val="1"/>
    <w:qFormat/>
    <w:uiPriority w:val="0"/>
    <w:pPr>
      <w:jc w:val="both"/>
    </w:pPr>
  </w:style>
  <w:style w:type="paragraph" w:styleId="14">
    <w:name w:val="Title"/>
    <w:basedOn w:val="1"/>
    <w:qFormat/>
    <w:uiPriority w:val="0"/>
    <w:pPr>
      <w:jc w:val="center"/>
    </w:pPr>
    <w:rPr>
      <w:b/>
      <w:bCs/>
    </w:rPr>
  </w:style>
  <w:style w:type="character" w:customStyle="1" w:styleId="15">
    <w:name w:val="Título 1 Car"/>
    <w:link w:val="2"/>
    <w:uiPriority w:val="0"/>
    <w:rPr>
      <w:b/>
      <w:bCs/>
      <w:sz w:val="24"/>
      <w:szCs w:val="24"/>
    </w:rPr>
  </w:style>
  <w:style w:type="character" w:customStyle="1" w:styleId="16">
    <w:name w:val="Texto de globo Car"/>
    <w:link w:val="9"/>
    <w:uiPriority w:val="0"/>
    <w:rPr>
      <w:rFonts w:ascii="Tahoma" w:hAnsi="Tahoma" w:cs="Tahoma"/>
      <w:sz w:val="16"/>
      <w:szCs w:val="16"/>
      <w:lang w:val="es-ES" w:eastAsia="es-ES"/>
    </w:rPr>
  </w:style>
  <w:style w:type="character" w:customStyle="1" w:styleId="17">
    <w:name w:val="Encabezado Car"/>
    <w:link w:val="10"/>
    <w:qFormat/>
    <w:uiPriority w:val="99"/>
    <w:rPr>
      <w:sz w:val="24"/>
      <w:szCs w:val="24"/>
      <w:lang w:val="es-ES" w:eastAsia="es-ES"/>
    </w:rPr>
  </w:style>
  <w:style w:type="character" w:customStyle="1" w:styleId="18">
    <w:name w:val="Pie de página Car"/>
    <w:link w:val="12"/>
    <w:qFormat/>
    <w:uiPriority w:val="0"/>
    <w:rPr>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ZULIA SALUD</Company>
  <Pages>12</Pages>
  <Words>5393</Words>
  <Characters>29664</Characters>
  <Lines>247</Lines>
  <Paragraphs>69</Paragraphs>
  <TotalTime>852</TotalTime>
  <ScaleCrop>false</ScaleCrop>
  <LinksUpToDate>false</LinksUpToDate>
  <CharactersWithSpaces>34988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2021-05-18T14:02:00Z</dcterms:created>
  <dc:creator>ZULIA SALUD</dc:creator>
  <cp:lastModifiedBy>Mercadeo Plan Medico Salud Zulia</cp:lastModifiedBy>
  <cp:lastPrinted>2025-02-20T20:25:56Z</cp:lastPrinted>
  <dcterms:modified xsi:type="dcterms:W3CDTF">2025-02-20T20:26:03Z</dcterms:modified>
  <dc:title>CONTRATO DE SERVICIO DE MEDICINA PREPAGADA</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8C5E2A8CB1FF4A4C84B22820E526C34D_12</vt:lpwstr>
  </property>
</Properties>
</file>